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普法责任清单（</w:t>
      </w:r>
      <w:r>
        <w:rPr>
          <w:rFonts w:hint="eastAsia" w:ascii="黑体" w:eastAsia="黑体" w:cs="Times New Roman"/>
          <w:sz w:val="44"/>
          <w:szCs w:val="44"/>
          <w:lang w:val="en-US" w:eastAsia="zh-CN"/>
        </w:rPr>
        <w:t>2025</w:t>
      </w:r>
      <w:r>
        <w:rPr>
          <w:rFonts w:hint="eastAsia" w:ascii="黑体" w:hAnsi="Times New Roman" w:eastAsia="黑体" w:cs="Times New Roman"/>
          <w:sz w:val="44"/>
          <w:szCs w:val="44"/>
        </w:rPr>
        <w:t>年度表）</w:t>
      </w:r>
    </w:p>
    <w:p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</w:p>
    <w:p>
      <w:pPr>
        <w:ind w:left="320" w:leftChars="100" w:right="451" w:rightChars="141" w:firstLine="160" w:firstLineChars="50"/>
        <w:jc w:val="left"/>
        <w:rPr>
          <w:rFonts w:hint="eastAsia" w:ascii="华文宋体" w:hAnsi="华文宋体" w:eastAsia="华文宋体" w:cs="Times New Roman"/>
          <w:b/>
          <w:szCs w:val="32"/>
        </w:rPr>
      </w:pPr>
      <w:r>
        <w:rPr>
          <w:rFonts w:hint="eastAsia" w:ascii="华文宋体" w:hAnsi="华文宋体" w:eastAsia="华文宋体" w:cs="Times New Roman"/>
          <w:b/>
          <w:szCs w:val="32"/>
        </w:rPr>
        <w:t>责任单位</w:t>
      </w:r>
      <w:r>
        <w:rPr>
          <w:rFonts w:hint="eastAsia" w:ascii="华文宋体" w:hAnsi="华文宋体" w:eastAsia="华文宋体" w:cs="Times New Roman"/>
          <w:szCs w:val="32"/>
        </w:rPr>
        <w:t>：厦门市自然资源和规划局</w:t>
      </w:r>
      <w:r>
        <w:rPr>
          <w:rFonts w:hint="eastAsia" w:ascii="仿宋_GB2312" w:hAnsi="Times New Roman" w:cs="Times New Roman"/>
          <w:szCs w:val="32"/>
        </w:rPr>
        <w:t xml:space="preserve">                                                     </w:t>
      </w:r>
      <w:r>
        <w:rPr>
          <w:rFonts w:hint="eastAsia" w:ascii="仿宋_GB2312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Cs w:val="32"/>
        </w:rPr>
        <w:t xml:space="preserve"> </w:t>
      </w:r>
      <w:r>
        <w:rPr>
          <w:rFonts w:hint="eastAsia" w:ascii="华文宋体" w:hAnsi="华文宋体" w:eastAsia="华文宋体" w:cs="Times New Roman"/>
          <w:b/>
          <w:szCs w:val="32"/>
        </w:rPr>
        <w:t>20</w:t>
      </w:r>
      <w:r>
        <w:rPr>
          <w:rFonts w:hint="eastAsia" w:ascii="华文宋体" w:hAnsi="华文宋体" w:eastAsia="华文宋体" w:cs="Times New Roman"/>
          <w:b/>
          <w:szCs w:val="32"/>
          <w:lang w:val="en-US" w:eastAsia="zh-CN"/>
        </w:rPr>
        <w:t>25</w:t>
      </w:r>
      <w:r>
        <w:rPr>
          <w:rFonts w:hint="eastAsia" w:ascii="华文宋体" w:hAnsi="华文宋体" w:eastAsia="华文宋体" w:cs="Times New Roman"/>
          <w:b/>
          <w:szCs w:val="32"/>
        </w:rPr>
        <w:t>年度</w:t>
      </w:r>
    </w:p>
    <w:p>
      <w:pPr>
        <w:ind w:right="451" w:rightChars="141"/>
        <w:jc w:val="left"/>
        <w:rPr>
          <w:rFonts w:hint="eastAsia" w:ascii="华文宋体" w:hAnsi="华文宋体" w:eastAsia="华文宋体" w:cs="Times New Roman"/>
          <w:b/>
          <w:szCs w:val="32"/>
        </w:rPr>
      </w:pPr>
    </w:p>
    <w:tbl>
      <w:tblPr>
        <w:tblStyle w:val="2"/>
        <w:tblW w:w="15838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983"/>
        <w:gridCol w:w="1785"/>
        <w:gridCol w:w="2205"/>
        <w:gridCol w:w="1890"/>
        <w:gridCol w:w="1575"/>
        <w:gridCol w:w="1575"/>
        <w:gridCol w:w="1512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普及的法律法规名称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普法对象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主要活动方式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时间进度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责任领导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责任部门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联系人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</w:t>
            </w:r>
            <w:r>
              <w:rPr>
                <w:rFonts w:ascii="仿宋_GB2312" w:hAnsi="Times New Roman" w:cs="Times New Roman"/>
                <w:sz w:val="24"/>
              </w:rPr>
              <w:t>人民共和国宪法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报刊、新媒体、</w:t>
            </w:r>
            <w:r>
              <w:rPr>
                <w:rFonts w:hint="eastAsia" w:ascii="仿宋_GB2312" w:hAnsi="Times New Roman" w:cs="Times New Roman"/>
                <w:sz w:val="24"/>
              </w:rPr>
              <w:t>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3.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“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12.4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”</w:t>
            </w:r>
            <w:r>
              <w:rPr>
                <w:rFonts w:hint="eastAsia" w:ascii="仿宋_GB2312" w:hAnsi="Times New Roman" w:cs="Times New Roman"/>
                <w:sz w:val="24"/>
              </w:rPr>
              <w:t>宪法日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主题</w:t>
            </w:r>
            <w:r>
              <w:rPr>
                <w:rFonts w:hint="eastAsia" w:ascii="仿宋_GB2312" w:hAnsi="Times New Roman" w:cs="Times New Roman"/>
                <w:sz w:val="24"/>
              </w:rPr>
              <w:t>宣传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庄源源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政策法规处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颜育鹏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28552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cs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</w:t>
            </w:r>
            <w:r>
              <w:rPr>
                <w:rFonts w:ascii="仿宋_GB2312" w:hAnsi="Times New Roman" w:cs="Times New Roman"/>
                <w:sz w:val="24"/>
              </w:rPr>
              <w:t>人民共和国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民法典》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报刊、新媒体、</w:t>
            </w:r>
            <w:r>
              <w:rPr>
                <w:rFonts w:hint="eastAsia" w:ascii="仿宋_GB2312" w:hAnsi="Times New Roman" w:cs="Times New Roman"/>
                <w:sz w:val="24"/>
              </w:rPr>
              <w:t>局门户网站宣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3、“美好生活 民法典相伴”主题宣传活动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庄源源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政策法规处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颜育鹏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28552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cs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《中华人民共和国土地管理法》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微信公众号宣传、LED显示屏宣传2、报刊、新媒体、局门户网站宣传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、“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6.25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”土地日主题宣传活动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庄源源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政策法规处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颜育鹏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cs="Times New Roman"/>
                <w:sz w:val="24"/>
                <w:lang w:val="en-US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28552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中华人民共和国城乡规划法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报刊、新媒体、</w:t>
            </w:r>
            <w:r>
              <w:rPr>
                <w:rFonts w:hint="eastAsia" w:ascii="仿宋_GB2312" w:hAnsi="Times New Roman" w:cs="Times New Roman"/>
                <w:sz w:val="24"/>
              </w:rPr>
              <w:t>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宣讲会、座谈会、主题日宣传活动等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沈瑞全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国土空间总体规划处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许海生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6223035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中华人民共和国海域使用管理法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微信公众号宣传、LED显示屏宣传2、报刊、新媒体、局门户网站宣传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3.“6·8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”</w:t>
            </w:r>
            <w:r>
              <w:rPr>
                <w:rFonts w:hint="eastAsia" w:ascii="仿宋_GB2312" w:hAnsi="Times New Roman" w:cs="Times New Roman"/>
                <w:sz w:val="24"/>
              </w:rPr>
              <w:t>海洋日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主题宣传活动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洪耀同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海域与海岛管理处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蔡伟毅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6229662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中华人民共和国海岛保护法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微信公众号宣传、LED显示屏宣传2、报刊、新媒体、局门户网站宣传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3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cs="Times New Roman"/>
                <w:sz w:val="24"/>
              </w:rPr>
              <w:t>“6·8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”</w:t>
            </w:r>
            <w:r>
              <w:rPr>
                <w:rFonts w:hint="eastAsia" w:ascii="仿宋_GB2312" w:hAnsi="Times New Roman" w:cs="Times New Roman"/>
                <w:sz w:val="24"/>
              </w:rPr>
              <w:t>海洋日主题宣传活动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洪耀同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海域与海岛管理处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蔡伟毅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6229662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中华人民共和国森林法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微信公众号宣传、LED显示屏宣传2、报刊、新媒体、局门户网站宣传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3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、“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3.21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”森林日主题</w:t>
            </w:r>
            <w:r>
              <w:rPr>
                <w:rFonts w:hint="eastAsia" w:ascii="仿宋_GB2312" w:hAnsi="Times New Roman" w:cs="Times New Roman"/>
                <w:sz w:val="24"/>
              </w:rPr>
              <w:t>宣传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张进金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森林资源与保护区管理处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沈思东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中华人民共和国野生动物保护法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微信公众号宣传、LED显示屏宣传2、报刊、新媒体、局门户网站宣传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3、中华白海豚保护宣传日宣传活动</w:t>
            </w:r>
          </w:p>
          <w:p>
            <w:pPr>
              <w:numPr>
                <w:ilvl w:val="0"/>
                <w:numId w:val="9"/>
              </w:numPr>
              <w:spacing w:line="360" w:lineRule="exact"/>
              <w:jc w:val="left"/>
              <w:rPr>
                <w:rFonts w:hint="default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野生动物宣传月主题宣传活动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lang w:val="en-US" w:eastAsia="zh-CN" w:bidi="ar-SA"/>
              </w:rPr>
              <w:t>张进金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森林资源与保护区管理处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lang w:val="en-US" w:eastAsia="zh-CN" w:bidi="ar-SA"/>
              </w:rPr>
              <w:t>沈思东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《中华人民共和国湿地保护法》</w:t>
            </w:r>
          </w:p>
          <w:p>
            <w:pPr>
              <w:spacing w:line="360" w:lineRule="exact"/>
              <w:jc w:val="center"/>
              <w:rPr>
                <w:rFonts w:hint="eastAsia" w:ascii="仿宋_GB2312" w:cs="Times New Roman"/>
                <w:sz w:val="24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微信公众号宣传、LED显示屏宣传2、报刊、新媒体、局门户网站宣传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3、“2·2”世界湿地日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lang w:val="en-US" w:eastAsia="zh-CN" w:bidi="ar-SA"/>
              </w:rPr>
              <w:t>张进金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森林资源与保护区管理处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lang w:val="en-US" w:eastAsia="zh-CN" w:bidi="ar-SA"/>
              </w:rPr>
              <w:t>沈思东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不动产登记暂行条例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0"/>
              </w:num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微信公众号宣传、LED显示屏宣传2、报刊、新媒体、局门户网站宣传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宣讲会、座谈会、主题日</w:t>
            </w:r>
            <w:r>
              <w:rPr>
                <w:rFonts w:hint="eastAsia" w:ascii="仿宋_GB2312" w:hAnsi="Times New Roman" w:cs="Times New Roman"/>
                <w:sz w:val="24"/>
              </w:rPr>
              <w:t>宣传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活动等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胡仕汉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自然资源调查监测与确权</w:t>
            </w:r>
            <w:bookmarkStart w:id="0" w:name="_GoBack"/>
            <w:bookmarkEnd w:id="0"/>
            <w:r>
              <w:rPr>
                <w:rFonts w:hint="eastAsia" w:ascii="仿宋_GB2312" w:cs="Times New Roman"/>
                <w:sz w:val="24"/>
                <w:lang w:eastAsia="zh-CN"/>
              </w:rPr>
              <w:t>登记处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24"/>
                <w:highlight w:val="none"/>
                <w:lang w:eastAsia="zh-CN"/>
              </w:rPr>
              <w:t>蔡冠青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24"/>
                <w:highlight w:val="none"/>
                <w:lang w:val="en-US" w:eastAsia="zh-CN"/>
              </w:rPr>
              <w:t>6589605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《中华人民共和国测绘法》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1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微信公众号宣传、LED显示屏宣传2、报刊、新媒体、局门户网站宣传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3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cs="Times New Roman"/>
                <w:sz w:val="24"/>
              </w:rPr>
              <w:t>“8.29”测绘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日主题宣传活动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沈瑞全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科技测绘与信息化处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郭荣芳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2855</w:t>
            </w:r>
            <w:r>
              <w:rPr>
                <w:rFonts w:hint="eastAsia" w:ascii="仿宋_GB2312"/>
                <w:sz w:val="24"/>
                <w:lang w:val="en-US" w:eastAsia="zh-CN"/>
              </w:rPr>
              <w:t>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《中华人民共和国矿产资源法》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2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微信公众号宣传、LED显示屏宣传2、报刊、新媒体、局门户网站宣传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宣讲会、座谈会、主题日宣传活动等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周畅灵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地质矿产管理处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蔡东渠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2855</w:t>
            </w:r>
            <w:r>
              <w:rPr>
                <w:rFonts w:hint="eastAsia" w:ascii="仿宋_GB2312"/>
                <w:sz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《厦门经济特区国土空间信息管理若干规定》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3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微信公众号宣传、LED显示屏宣传2、报刊、新媒体、局门户网站宣传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3.宣讲会、座谈会、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主题日</w:t>
            </w:r>
            <w:r>
              <w:rPr>
                <w:rFonts w:hint="eastAsia" w:ascii="仿宋_GB2312" w:hAnsi="Times New Roman" w:cs="Times New Roman"/>
                <w:sz w:val="24"/>
              </w:rPr>
              <w:t>宣传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活动等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沈瑞全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科技测绘与信息化处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郭荣芳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2855389</w:t>
            </w:r>
          </w:p>
        </w:tc>
      </w:tr>
    </w:tbl>
    <w:p/>
    <w:p/>
    <w:p/>
    <w:sectPr>
      <w:pgSz w:w="16838" w:h="11906" w:orient="landscape"/>
      <w:pgMar w:top="850" w:right="113" w:bottom="850" w:left="1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A978C"/>
    <w:multiLevelType w:val="singleLevel"/>
    <w:tmpl w:val="9F3A97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4F4A0F"/>
    <w:multiLevelType w:val="singleLevel"/>
    <w:tmpl w:val="B24F4A0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EEBBE9E"/>
    <w:multiLevelType w:val="singleLevel"/>
    <w:tmpl w:val="BEEBBE9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38E10A4"/>
    <w:multiLevelType w:val="singleLevel"/>
    <w:tmpl w:val="D38E10A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FFF167F"/>
    <w:multiLevelType w:val="singleLevel"/>
    <w:tmpl w:val="DFFF167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77DB8D6"/>
    <w:multiLevelType w:val="singleLevel"/>
    <w:tmpl w:val="E77DB8D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B7BC21"/>
    <w:multiLevelType w:val="singleLevel"/>
    <w:tmpl w:val="EFB7BC2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65A2AAF"/>
    <w:multiLevelType w:val="singleLevel"/>
    <w:tmpl w:val="F65A2AA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D9FE33A"/>
    <w:multiLevelType w:val="singleLevel"/>
    <w:tmpl w:val="FD9FE33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FDD32BE"/>
    <w:multiLevelType w:val="singleLevel"/>
    <w:tmpl w:val="FFDD32BE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FFE9506"/>
    <w:multiLevelType w:val="singleLevel"/>
    <w:tmpl w:val="FFFE950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85DA11F"/>
    <w:multiLevelType w:val="singleLevel"/>
    <w:tmpl w:val="785DA11F"/>
    <w:lvl w:ilvl="0" w:tentative="0">
      <w:start w:val="4"/>
      <w:numFmt w:val="decimal"/>
      <w:suff w:val="nothing"/>
      <w:lvlText w:val="%1、"/>
      <w:lvlJc w:val="left"/>
    </w:lvl>
  </w:abstractNum>
  <w:abstractNum w:abstractNumId="12">
    <w:nsid w:val="7EEF7A60"/>
    <w:multiLevelType w:val="singleLevel"/>
    <w:tmpl w:val="7EEF7A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714D9"/>
    <w:rsid w:val="5F76841B"/>
    <w:rsid w:val="7DD714D9"/>
    <w:rsid w:val="7FBE38B0"/>
    <w:rsid w:val="F4DADE34"/>
    <w:rsid w:val="F6E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2025-05-22T17:35:00Z</dcterms:created>
  <dc:creator>王阿虹</dc:creator>
  <cp:lastModifiedBy>王阿虹</cp:lastModifiedBy>
  <dcterms:modified xsi:type="dcterms:W3CDTF">2025-05-29T11:28:59Z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10FEA1469E3C321DCA2D2D68645DB7A7</vt:lpwstr>
  </property>
</Properties>
</file>