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厦门市</w:t>
      </w:r>
      <w:r>
        <w:rPr>
          <w:rFonts w:hint="eastAsia" w:ascii="方正小标宋简体" w:hAnsi="方正小标宋简体" w:eastAsia="方正小标宋简体" w:cs="方正小标宋简体"/>
          <w:b/>
          <w:bCs/>
          <w:sz w:val="44"/>
          <w:szCs w:val="44"/>
          <w:lang w:eastAsia="zh-CN"/>
        </w:rPr>
        <w:t>自然资源和规划局同安分局“</w:t>
      </w:r>
      <w:r>
        <w:rPr>
          <w:rFonts w:hint="eastAsia" w:ascii="方正小标宋简体" w:hAnsi="方正小标宋简体" w:eastAsia="方正小标宋简体" w:cs="方正小标宋简体"/>
          <w:b/>
          <w:bCs/>
          <w:sz w:val="44"/>
          <w:szCs w:val="44"/>
        </w:rPr>
        <w:t>双随机</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rPr>
        <w:t>抽查事中事后监管台账</w:t>
      </w:r>
    </w:p>
    <w:p>
      <w:pPr>
        <w:rPr>
          <w:rFonts w:hint="eastAsia" w:eastAsia="仿宋_GB2312"/>
          <w:sz w:val="32"/>
          <w:szCs w:val="32"/>
          <w:lang w:eastAsia="zh-CN"/>
        </w:rPr>
      </w:pPr>
      <w:r>
        <w:rPr>
          <w:rFonts w:hint="eastAsia" w:eastAsia="仿宋_GB2312"/>
          <w:sz w:val="32"/>
          <w:szCs w:val="32"/>
          <w:lang w:eastAsia="zh-CN"/>
        </w:rPr>
        <w:t>同安</w:t>
      </w:r>
      <w:r>
        <w:rPr>
          <w:rFonts w:hint="eastAsia" w:eastAsia="仿宋_GB2312"/>
          <w:sz w:val="32"/>
          <w:szCs w:val="32"/>
        </w:rPr>
        <w:t>分局</w:t>
      </w:r>
      <w:r>
        <w:rPr>
          <w:rFonts w:hint="eastAsia" w:eastAsia="仿宋_GB2312"/>
          <w:sz w:val="32"/>
          <w:szCs w:val="32"/>
          <w:lang w:val="en-US" w:eastAsia="zh-CN"/>
        </w:rPr>
        <w:t>2025年4-6</w:t>
      </w:r>
      <w:r>
        <w:rPr>
          <w:rFonts w:hint="eastAsia" w:eastAsia="仿宋_GB2312"/>
          <w:sz w:val="32"/>
          <w:szCs w:val="32"/>
        </w:rPr>
        <w:t>月份</w:t>
      </w:r>
      <w:r>
        <w:rPr>
          <w:rFonts w:hint="eastAsia" w:eastAsia="仿宋_GB2312"/>
          <w:sz w:val="32"/>
          <w:szCs w:val="32"/>
          <w:lang w:eastAsia="zh-CN"/>
        </w:rPr>
        <w:t>（第</w:t>
      </w:r>
      <w:r>
        <w:rPr>
          <w:rFonts w:hint="eastAsia" w:eastAsia="仿宋_GB2312"/>
          <w:sz w:val="32"/>
          <w:szCs w:val="32"/>
          <w:lang w:val="en-US" w:eastAsia="zh-CN"/>
        </w:rPr>
        <w:t>二</w:t>
      </w:r>
      <w:r>
        <w:rPr>
          <w:rFonts w:hint="eastAsia" w:eastAsia="仿宋_GB2312"/>
          <w:sz w:val="32"/>
          <w:szCs w:val="32"/>
          <w:lang w:eastAsia="zh-CN"/>
        </w:rPr>
        <w:t>季度）</w:t>
      </w:r>
    </w:p>
    <w:tbl>
      <w:tblPr>
        <w:tblStyle w:val="5"/>
        <w:tblW w:w="1416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6"/>
        <w:gridCol w:w="1662"/>
        <w:gridCol w:w="1788"/>
        <w:gridCol w:w="1862"/>
        <w:gridCol w:w="1350"/>
        <w:gridCol w:w="879"/>
        <w:gridCol w:w="2910"/>
        <w:gridCol w:w="982"/>
        <w:gridCol w:w="1025"/>
        <w:gridCol w:w="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991" w:hRule="atLeast"/>
        </w:trPr>
        <w:tc>
          <w:tcPr>
            <w:tcW w:w="1706"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抽查事项名称</w:t>
            </w:r>
          </w:p>
        </w:tc>
        <w:tc>
          <w:tcPr>
            <w:tcW w:w="12458" w:type="dxa"/>
            <w:gridSpan w:val="8"/>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年第</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二</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季度建设用地与建设工程批后监督管理“双随机”检查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1208" w:hRule="atLeast"/>
        </w:trPr>
        <w:tc>
          <w:tcPr>
            <w:tcW w:w="1706"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抽查依据</w:t>
            </w:r>
          </w:p>
        </w:tc>
        <w:tc>
          <w:tcPr>
            <w:tcW w:w="12458" w:type="dxa"/>
            <w:gridSpan w:val="8"/>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华人民共和国城乡规划法》、《中华人民共和国土地管理法》、《厦门市城乡规划条例》、《厦门经济特区土地管理若干规定》等法律法规，以及《厦门市人民政府办公厅关于做好推广随机抽查机制规范事中事后监管工作的通知》（厦府办〔2016〕12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501" w:hRule="atLeast"/>
        </w:trPr>
        <w:tc>
          <w:tcPr>
            <w:tcW w:w="1706"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抽取规则</w:t>
            </w:r>
          </w:p>
        </w:tc>
        <w:tc>
          <w:tcPr>
            <w:tcW w:w="12458" w:type="dxa"/>
            <w:gridSpan w:val="8"/>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随机抽取2名执法人员、按</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%比例随机抽取建设用地与建设工程项目。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615" w:hRule="atLeast"/>
        </w:trPr>
        <w:tc>
          <w:tcPr>
            <w:tcW w:w="1706"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抽查方式</w:t>
            </w:r>
          </w:p>
        </w:tc>
        <w:tc>
          <w:tcPr>
            <w:tcW w:w="12458" w:type="dxa"/>
            <w:gridSpan w:val="8"/>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内业核查和现场检查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90" w:hRule="atLeast"/>
        </w:trPr>
        <w:tc>
          <w:tcPr>
            <w:tcW w:w="1706" w:type="dxa"/>
            <w:vAlign w:val="center"/>
          </w:tcPr>
          <w:p>
            <w:pPr>
              <w:jc w:val="center"/>
              <w:rPr>
                <w:rFonts w:hint="eastAsia" w:ascii="仿宋_GB2312" w:hAnsi="华文仿宋"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抽查内容</w:t>
            </w:r>
          </w:p>
        </w:tc>
        <w:tc>
          <w:tcPr>
            <w:tcW w:w="12458" w:type="dxa"/>
            <w:gridSpan w:val="8"/>
            <w:vAlign w:val="center"/>
          </w:tcPr>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 项: 是否按约定履行土地出让合同及划拨决定书</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2-1 项: 是否设置建设用地项目信息与规划许可公告牌</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2-2 项: 对外公示信息是否与土地出让合同或划拨决定书及规划许可的内容相符</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2-3 项: 需设置风险提示牌的项目，检查风险提示牌是否按规定设立</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3 项: 是否达到动工开发标准</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4-1 项: 是否及时进行开工申报</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4-2 项: 是否及时进行竣工申报</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5 项: 建筑物放线（单体放样）是否报验</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6 项: 建筑物复测（±0.00复测）是否报验</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7 项: 是否未办理建设项目竣工规划和土地核实即投入使用</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8 项: 是否按图施工</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9 项: 公建、市政配套设施位置是否满足许可要求</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10 项: 建筑高度和层数是否满足规划许可要求</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11 项: 建筑外立面装饰是否与规划许可相符</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12 项: 是否涉嫌用途改变</w:t>
            </w:r>
          </w:p>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第 13 项: 是否完成违约处置手续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gridAfter w:val="1"/>
          <w:wAfter w:w="2" w:type="dxa"/>
          <w:trHeight w:val="90" w:hRule="atLeast"/>
        </w:trPr>
        <w:tc>
          <w:tcPr>
            <w:tcW w:w="1706" w:type="dxa"/>
            <w:vAlign w:val="center"/>
          </w:tcPr>
          <w:p>
            <w:pPr>
              <w:jc w:val="center"/>
              <w:rPr>
                <w:rFonts w:hint="eastAsia" w:ascii="仿宋_GB2312" w:hAnsi="华文仿宋" w:eastAsia="仿宋_GB2312"/>
                <w:b/>
                <w:color w:val="000000" w:themeColor="text1"/>
                <w:sz w:val="24"/>
                <w14:textFill>
                  <w14:solidFill>
                    <w14:schemeClr w14:val="tx1"/>
                  </w14:solidFill>
                </w14:textFill>
              </w:rPr>
            </w:pPr>
          </w:p>
        </w:tc>
        <w:tc>
          <w:tcPr>
            <w:tcW w:w="12458" w:type="dxa"/>
            <w:gridSpan w:val="8"/>
            <w:vAlign w:val="center"/>
          </w:tcPr>
          <w:p>
            <w:pPr>
              <w:keepNext w:val="0"/>
              <w:keepLines w:val="0"/>
              <w:widowControl/>
              <w:suppressLineNumbers w:val="0"/>
              <w:jc w:val="left"/>
              <w:textAlignment w:val="bottom"/>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784" w:hRule="atLeast"/>
        </w:trPr>
        <w:tc>
          <w:tcPr>
            <w:tcW w:w="1706" w:type="dxa"/>
            <w:vAlign w:val="center"/>
          </w:tcPr>
          <w:p>
            <w:pPr>
              <w:jc w:val="center"/>
              <w:rPr>
                <w:rFonts w:ascii="仿宋_GB2312" w:hAnsi="华文仿宋" w:eastAsia="仿宋_GB2312"/>
                <w:b/>
                <w:color w:val="000000" w:themeColor="text1"/>
                <w:sz w:val="24"/>
                <w14:textFill>
                  <w14:solidFill>
                    <w14:schemeClr w14:val="tx1"/>
                  </w14:solidFill>
                </w14:textFill>
              </w:rPr>
            </w:pPr>
            <w:r>
              <w:rPr>
                <w:rFonts w:hint="eastAsia" w:ascii="仿宋_GB2312" w:hAnsi="华文仿宋" w:eastAsia="仿宋_GB2312"/>
                <w:b/>
                <w:color w:val="000000" w:themeColor="text1"/>
                <w:sz w:val="24"/>
                <w14:textFill>
                  <w14:solidFill>
                    <w14:schemeClr w14:val="tx1"/>
                  </w14:solidFill>
                </w14:textFill>
              </w:rPr>
              <w:t>序号</w:t>
            </w:r>
          </w:p>
        </w:tc>
        <w:tc>
          <w:tcPr>
            <w:tcW w:w="1662"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检查项目名称</w:t>
            </w:r>
          </w:p>
        </w:tc>
        <w:tc>
          <w:tcPr>
            <w:tcW w:w="1788"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被检企业名称</w:t>
            </w:r>
          </w:p>
        </w:tc>
        <w:tc>
          <w:tcPr>
            <w:tcW w:w="1862"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检查人员姓名</w:t>
            </w:r>
          </w:p>
        </w:tc>
        <w:tc>
          <w:tcPr>
            <w:tcW w:w="1350"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w:t>
            </w:r>
          </w:p>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时间</w:t>
            </w:r>
          </w:p>
        </w:tc>
        <w:tc>
          <w:tcPr>
            <w:tcW w:w="879"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检查内容</w:t>
            </w:r>
          </w:p>
        </w:tc>
        <w:tc>
          <w:tcPr>
            <w:tcW w:w="2910"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检查结果</w:t>
            </w:r>
          </w:p>
        </w:tc>
        <w:tc>
          <w:tcPr>
            <w:tcW w:w="982"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发现问题</w:t>
            </w:r>
          </w:p>
        </w:tc>
        <w:tc>
          <w:tcPr>
            <w:tcW w:w="1025" w:type="dxa"/>
            <w:vAlign w:val="center"/>
          </w:tcPr>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整改落实情况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 w:type="dxa"/>
          <w:trHeight w:val="90" w:hRule="atLeast"/>
        </w:trPr>
        <w:tc>
          <w:tcPr>
            <w:tcW w:w="1706"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6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厦门新五菱汽车销售有限公司厂房及配套设施建设项目</w:t>
            </w:r>
          </w:p>
        </w:tc>
        <w:tc>
          <w:tcPr>
            <w:tcW w:w="1788"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厦门新五菱汽车销售有限公司</w:t>
            </w:r>
          </w:p>
        </w:tc>
        <w:tc>
          <w:tcPr>
            <w:tcW w:w="18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洪德聪,杨内州</w:t>
            </w:r>
          </w:p>
        </w:tc>
        <w:tc>
          <w:tcPr>
            <w:tcW w:w="1350"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2025-06-26</w:t>
            </w:r>
          </w:p>
        </w:tc>
        <w:tc>
          <w:tcPr>
            <w:tcW w:w="879"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13项抽查内容</w:t>
            </w:r>
          </w:p>
        </w:tc>
        <w:tc>
          <w:tcPr>
            <w:tcW w:w="291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现场施工中，暂无发现问题。</w:t>
            </w:r>
          </w:p>
        </w:tc>
        <w:tc>
          <w:tcPr>
            <w:tcW w:w="98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c>
          <w:tcPr>
            <w:tcW w:w="1025"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6" w:hRule="atLeast"/>
        </w:trPr>
        <w:tc>
          <w:tcPr>
            <w:tcW w:w="1706"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16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1#厂房扩建（二期）</w:t>
            </w:r>
          </w:p>
        </w:tc>
        <w:tc>
          <w:tcPr>
            <w:tcW w:w="1788"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厦门鹏远仓储设备制造有限公司</w:t>
            </w:r>
          </w:p>
        </w:tc>
        <w:tc>
          <w:tcPr>
            <w:tcW w:w="18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吴军英,洪德聪</w:t>
            </w:r>
          </w:p>
        </w:tc>
        <w:tc>
          <w:tcPr>
            <w:tcW w:w="1350"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2025-06-26</w:t>
            </w:r>
          </w:p>
        </w:tc>
        <w:tc>
          <w:tcPr>
            <w:tcW w:w="879"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13项抽查内容</w:t>
            </w:r>
          </w:p>
        </w:tc>
        <w:tc>
          <w:tcPr>
            <w:tcW w:w="291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未办理施工许可证、建筑物放线（单体放样）、±0.00复测未办理开工申报、竣工期限超过合同约定的竣工期限、未办理建设项目竣工规划和土地核实即投入使用</w:t>
            </w:r>
          </w:p>
        </w:tc>
        <w:tc>
          <w:tcPr>
            <w:tcW w:w="98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未达到动工开发标准开工建设并投入使用</w:t>
            </w:r>
          </w:p>
        </w:tc>
        <w:tc>
          <w:tcPr>
            <w:tcW w:w="1025" w:type="dxa"/>
            <w:vAlign w:val="center"/>
          </w:tcPr>
          <w:p>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下发整改通知书限期整改、下发开工履约通知书、下发竣工履约通知书、未办理施工许可证函告区住建局处置</w:t>
            </w:r>
          </w:p>
        </w:tc>
        <w:tc>
          <w:tcPr>
            <w:tcW w:w="2" w:type="dxa"/>
            <w:vAlign w:val="center"/>
          </w:tcPr>
          <w:p>
            <w:pPr>
              <w:jc w:val="both"/>
            </w:pPr>
            <w:r>
              <w:rPr>
                <w:rFonts w:hint="eastAsia" w:ascii="仿宋_GB2312" w:hAnsi="仿宋_GB2312" w:eastAsia="仿宋_GB2312" w:cs="仿宋_GB2312"/>
                <w:sz w:val="22"/>
                <w:szCs w:val="22"/>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334" w:hRule="atLeast"/>
        </w:trPr>
        <w:tc>
          <w:tcPr>
            <w:tcW w:w="1706"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16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rPr>
              <w:t>保障性租赁住房美峰公寓</w:t>
            </w:r>
          </w:p>
        </w:tc>
        <w:tc>
          <w:tcPr>
            <w:tcW w:w="1788"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厦门安居集团有限公司</w:t>
            </w:r>
          </w:p>
        </w:tc>
        <w:tc>
          <w:tcPr>
            <w:tcW w:w="18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汤超,吴军英</w:t>
            </w:r>
          </w:p>
        </w:tc>
        <w:tc>
          <w:tcPr>
            <w:tcW w:w="135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2025-06-26</w:t>
            </w:r>
          </w:p>
        </w:tc>
        <w:tc>
          <w:tcPr>
            <w:tcW w:w="879"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13项抽查内容</w:t>
            </w:r>
          </w:p>
        </w:tc>
        <w:tc>
          <w:tcPr>
            <w:tcW w:w="291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现场施工中，暂无发现问题。</w:t>
            </w:r>
          </w:p>
        </w:tc>
        <w:tc>
          <w:tcPr>
            <w:tcW w:w="98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c>
          <w:tcPr>
            <w:tcW w:w="1025"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c>
          <w:tcPr>
            <w:tcW w:w="2" w:type="dxa"/>
            <w:vAlign w:val="center"/>
          </w:tcPr>
          <w:p>
            <w:pPr>
              <w:jc w:val="both"/>
            </w:pPr>
            <w:r>
              <w:rPr>
                <w:rFonts w:hint="eastAsia" w:ascii="仿宋_GB2312" w:hAnsi="仿宋_GB2312" w:eastAsia="仿宋_GB2312" w:cs="仿宋_GB2312"/>
                <w:sz w:val="22"/>
                <w:szCs w:val="22"/>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5" w:hRule="atLeast"/>
        </w:trPr>
        <w:tc>
          <w:tcPr>
            <w:tcW w:w="1706"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c>
          <w:tcPr>
            <w:tcW w:w="16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rPr>
              <w:t>金杨股份锂电池精密结构件项目</w:t>
            </w:r>
          </w:p>
        </w:tc>
        <w:tc>
          <w:tcPr>
            <w:tcW w:w="1788" w:type="dxa"/>
            <w:vAlign w:val="center"/>
          </w:tcPr>
          <w:p>
            <w:pPr>
              <w:jc w:val="center"/>
              <w:rPr>
                <w:rFonts w:hint="eastAsia" w:asciiTheme="minorEastAsia" w:hAnsiTheme="minorEastAsia" w:eastAsiaTheme="minorEastAsia" w:cstheme="minorEastAsia"/>
                <w:sz w:val="20"/>
                <w:szCs w:val="20"/>
                <w:lang w:val="en-US" w:eastAsia="zh-CN"/>
              </w:rPr>
            </w:pPr>
            <w:r>
              <w:rPr>
                <w:rFonts w:hint="eastAsia"/>
              </w:rPr>
              <w:t>厦门金杨精密制造有限公司</w:t>
            </w:r>
          </w:p>
        </w:tc>
        <w:tc>
          <w:tcPr>
            <w:tcW w:w="18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杨春四,余斌</w:t>
            </w:r>
          </w:p>
        </w:tc>
        <w:tc>
          <w:tcPr>
            <w:tcW w:w="1350"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2025-06-26</w:t>
            </w:r>
          </w:p>
        </w:tc>
        <w:tc>
          <w:tcPr>
            <w:tcW w:w="879"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13项抽查内容</w:t>
            </w:r>
          </w:p>
        </w:tc>
        <w:tc>
          <w:tcPr>
            <w:tcW w:w="2910"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现场施工中，暂无发现问题。</w:t>
            </w:r>
          </w:p>
        </w:tc>
        <w:tc>
          <w:tcPr>
            <w:tcW w:w="98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c>
          <w:tcPr>
            <w:tcW w:w="1025"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c>
          <w:tcPr>
            <w:tcW w:w="2" w:type="dxa"/>
            <w:vAlign w:val="center"/>
          </w:tcPr>
          <w:p>
            <w:pPr>
              <w:jc w:val="both"/>
            </w:pPr>
            <w:r>
              <w:rPr>
                <w:rFonts w:hint="eastAsia" w:ascii="仿宋_GB2312" w:hAnsi="仿宋_GB2312" w:eastAsia="仿宋_GB2312" w:cs="仿宋_GB2312"/>
                <w:sz w:val="22"/>
                <w:szCs w:val="22"/>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5" w:hRule="atLeast"/>
        </w:trPr>
        <w:tc>
          <w:tcPr>
            <w:tcW w:w="1706"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16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厦门粤沣医疗器械制造生产项目</w:t>
            </w:r>
          </w:p>
        </w:tc>
        <w:tc>
          <w:tcPr>
            <w:tcW w:w="1788"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厦门粤沣医疗科技有限公司</w:t>
            </w:r>
          </w:p>
        </w:tc>
        <w:tc>
          <w:tcPr>
            <w:tcW w:w="186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杨内州,汤超</w:t>
            </w:r>
          </w:p>
        </w:tc>
        <w:tc>
          <w:tcPr>
            <w:tcW w:w="135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2025-06-26</w:t>
            </w:r>
          </w:p>
        </w:tc>
        <w:tc>
          <w:tcPr>
            <w:tcW w:w="879"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13项抽查内容</w:t>
            </w:r>
          </w:p>
        </w:tc>
        <w:tc>
          <w:tcPr>
            <w:tcW w:w="2910"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现场施工中，暂无发现问题。</w:t>
            </w:r>
          </w:p>
        </w:tc>
        <w:tc>
          <w:tcPr>
            <w:tcW w:w="982"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p>
        </w:tc>
        <w:tc>
          <w:tcPr>
            <w:tcW w:w="1025"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无</w:t>
            </w:r>
            <w:bookmarkStart w:id="0" w:name="_GoBack"/>
            <w:bookmarkEnd w:id="0"/>
          </w:p>
        </w:tc>
        <w:tc>
          <w:tcPr>
            <w:tcW w:w="2" w:type="dxa"/>
            <w:vAlign w:val="center"/>
          </w:tcPr>
          <w:p>
            <w:pPr>
              <w:jc w:val="both"/>
              <w:rPr>
                <w:rFonts w:hint="eastAsia" w:ascii="仿宋_GB2312" w:hAnsi="仿宋_GB2312" w:eastAsia="仿宋_GB2312" w:cs="仿宋_GB2312"/>
                <w:sz w:val="22"/>
                <w:szCs w:val="22"/>
              </w:rPr>
            </w:pPr>
          </w:p>
        </w:tc>
      </w:tr>
    </w:tbl>
    <w:p>
      <w:pPr>
        <w:jc w:val="center"/>
        <w:rPr>
          <w:rFonts w:hint="eastAsia" w:ascii="仿宋_GB2312" w:hAnsi="仿宋_GB2312" w:eastAsia="仿宋_GB2312" w:cs="仿宋_GB2312"/>
          <w:sz w:val="22"/>
          <w:szCs w:val="22"/>
        </w:rPr>
      </w:pPr>
    </w:p>
    <w:p>
      <w:pPr>
        <w:rPr>
          <w:rFonts w:ascii="仿宋" w:hAnsi="仿宋" w:eastAsia="仿宋"/>
          <w:sz w:val="28"/>
          <w:szCs w:val="28"/>
        </w:rPr>
      </w:pPr>
      <w:r>
        <w:rPr>
          <w:rFonts w:hint="eastAsia" w:eastAsia="仿宋_GB2312" w:cs="仿宋_GB2312"/>
          <w:sz w:val="32"/>
          <w:szCs w:val="32"/>
        </w:rPr>
        <w:t>填报人：</w:t>
      </w:r>
      <w:r>
        <w:rPr>
          <w:rFonts w:hint="eastAsia" w:eastAsia="仿宋_GB2312" w:cs="仿宋_GB2312"/>
          <w:sz w:val="32"/>
          <w:szCs w:val="32"/>
          <w:lang w:eastAsia="zh-CN"/>
        </w:rPr>
        <w:t>王文博</w:t>
      </w:r>
      <w:r>
        <w:rPr>
          <w:rFonts w:eastAsia="仿宋_GB2312"/>
          <w:sz w:val="32"/>
          <w:szCs w:val="32"/>
        </w:rPr>
        <w:t xml:space="preserve">    </w:t>
      </w:r>
      <w:r>
        <w:rPr>
          <w:rFonts w:hint="eastAsia" w:eastAsia="仿宋_GB2312" w:cs="仿宋_GB2312"/>
          <w:sz w:val="32"/>
          <w:szCs w:val="32"/>
        </w:rPr>
        <w:t>联系电话：</w:t>
      </w:r>
      <w:r>
        <w:rPr>
          <w:rFonts w:hint="eastAsia" w:eastAsia="仿宋_GB2312"/>
          <w:sz w:val="32"/>
          <w:szCs w:val="32"/>
          <w:lang w:val="en-US" w:eastAsia="zh-CN"/>
        </w:rPr>
        <w:t>05927579060</w:t>
      </w:r>
      <w:r>
        <w:rPr>
          <w:rFonts w:eastAsia="仿宋_GB2312"/>
          <w:sz w:val="32"/>
          <w:szCs w:val="32"/>
        </w:rPr>
        <w:t xml:space="preserve">                      </w:t>
      </w:r>
      <w:r>
        <w:rPr>
          <w:rFonts w:hint="eastAsia" w:eastAsia="仿宋_GB2312" w:cs="仿宋_GB2312"/>
          <w:sz w:val="32"/>
          <w:szCs w:val="32"/>
        </w:rPr>
        <w:t>填报日期：</w:t>
      </w:r>
      <w:r>
        <w:rPr>
          <w:rFonts w:eastAsia="仿宋_GB2312"/>
          <w:sz w:val="32"/>
          <w:szCs w:val="32"/>
        </w:rPr>
        <w:t>20</w:t>
      </w:r>
      <w:r>
        <w:rPr>
          <w:rFonts w:hint="eastAsia" w:eastAsia="仿宋_GB2312"/>
          <w:sz w:val="32"/>
          <w:szCs w:val="32"/>
          <w:lang w:val="en-US" w:eastAsia="zh-CN"/>
        </w:rPr>
        <w:t>27</w:t>
      </w:r>
      <w:r>
        <w:rPr>
          <w:rFonts w:hint="eastAsia" w:eastAsia="仿宋_GB2312" w:cs="仿宋_GB2312"/>
          <w:sz w:val="32"/>
          <w:szCs w:val="32"/>
        </w:rPr>
        <w:t>年</w:t>
      </w:r>
      <w:r>
        <w:rPr>
          <w:rFonts w:hint="eastAsia" w:eastAsia="仿宋_GB2312" w:cs="仿宋_GB2312"/>
          <w:sz w:val="32"/>
          <w:szCs w:val="32"/>
          <w:lang w:val="en-US" w:eastAsia="zh-CN"/>
        </w:rPr>
        <w:t>7</w:t>
      </w:r>
      <w:r>
        <w:rPr>
          <w:rFonts w:hint="eastAsia" w:eastAsia="仿宋_GB2312" w:cs="仿宋_GB2312"/>
          <w:sz w:val="32"/>
          <w:szCs w:val="32"/>
        </w:rPr>
        <w:t>月</w:t>
      </w:r>
      <w:r>
        <w:rPr>
          <w:rFonts w:hint="eastAsia" w:eastAsia="仿宋_GB2312" w:cs="仿宋_GB2312"/>
          <w:sz w:val="32"/>
          <w:szCs w:val="32"/>
          <w:lang w:val="en-US" w:eastAsia="zh-CN"/>
        </w:rPr>
        <w:t>10</w:t>
      </w:r>
      <w:r>
        <w:rPr>
          <w:rFonts w:hint="eastAsia" w:eastAsia="仿宋_GB2312" w:cs="仿宋_GB2312"/>
          <w:sz w:val="32"/>
          <w:szCs w:val="32"/>
        </w:rPr>
        <w:t>日</w:t>
      </w:r>
    </w:p>
    <w:sectPr>
      <w:pgSz w:w="16838" w:h="11906" w:orient="landscape"/>
      <w:pgMar w:top="13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font-weight : 400">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MDJhNDJlMDU0OTI1NTYxZTlmNmFjODFiMDRhN2EifQ=="/>
  </w:docVars>
  <w:rsids>
    <w:rsidRoot w:val="00893A11"/>
    <w:rsid w:val="00022DDF"/>
    <w:rsid w:val="00030738"/>
    <w:rsid w:val="00033E9C"/>
    <w:rsid w:val="00036CE2"/>
    <w:rsid w:val="0004088D"/>
    <w:rsid w:val="0004190D"/>
    <w:rsid w:val="0005761A"/>
    <w:rsid w:val="000667B0"/>
    <w:rsid w:val="00095918"/>
    <w:rsid w:val="000959FD"/>
    <w:rsid w:val="000976DF"/>
    <w:rsid w:val="000A3510"/>
    <w:rsid w:val="000A6BD3"/>
    <w:rsid w:val="000A719D"/>
    <w:rsid w:val="000C15F0"/>
    <w:rsid w:val="000C5069"/>
    <w:rsid w:val="001464F4"/>
    <w:rsid w:val="00147F68"/>
    <w:rsid w:val="00161B0D"/>
    <w:rsid w:val="001626D0"/>
    <w:rsid w:val="0016731A"/>
    <w:rsid w:val="0017170A"/>
    <w:rsid w:val="001819E9"/>
    <w:rsid w:val="00190862"/>
    <w:rsid w:val="00195F1F"/>
    <w:rsid w:val="00254C32"/>
    <w:rsid w:val="00265483"/>
    <w:rsid w:val="00267B90"/>
    <w:rsid w:val="002D3E0A"/>
    <w:rsid w:val="002E1F33"/>
    <w:rsid w:val="003226D2"/>
    <w:rsid w:val="0032409B"/>
    <w:rsid w:val="00353CEA"/>
    <w:rsid w:val="0036602D"/>
    <w:rsid w:val="0038504D"/>
    <w:rsid w:val="00390380"/>
    <w:rsid w:val="003940C3"/>
    <w:rsid w:val="0039795C"/>
    <w:rsid w:val="0040455B"/>
    <w:rsid w:val="00451846"/>
    <w:rsid w:val="00487A7E"/>
    <w:rsid w:val="004C5837"/>
    <w:rsid w:val="004E5235"/>
    <w:rsid w:val="004F4BC0"/>
    <w:rsid w:val="00510343"/>
    <w:rsid w:val="005818EC"/>
    <w:rsid w:val="006067C5"/>
    <w:rsid w:val="00687F48"/>
    <w:rsid w:val="006A6E86"/>
    <w:rsid w:val="006B28CB"/>
    <w:rsid w:val="00786CAD"/>
    <w:rsid w:val="00792298"/>
    <w:rsid w:val="007D7423"/>
    <w:rsid w:val="007E4D1D"/>
    <w:rsid w:val="007E5D36"/>
    <w:rsid w:val="00822760"/>
    <w:rsid w:val="008525AB"/>
    <w:rsid w:val="0088278E"/>
    <w:rsid w:val="00893A11"/>
    <w:rsid w:val="008B6F36"/>
    <w:rsid w:val="00911C95"/>
    <w:rsid w:val="00921607"/>
    <w:rsid w:val="0092193C"/>
    <w:rsid w:val="00997032"/>
    <w:rsid w:val="009D35C5"/>
    <w:rsid w:val="009F5C5C"/>
    <w:rsid w:val="00A4311C"/>
    <w:rsid w:val="00A66F18"/>
    <w:rsid w:val="00AA1F94"/>
    <w:rsid w:val="00AE2E83"/>
    <w:rsid w:val="00B002B1"/>
    <w:rsid w:val="00B0693C"/>
    <w:rsid w:val="00B20931"/>
    <w:rsid w:val="00B4388E"/>
    <w:rsid w:val="00B61EC0"/>
    <w:rsid w:val="00B74475"/>
    <w:rsid w:val="00B82783"/>
    <w:rsid w:val="00BA7DA0"/>
    <w:rsid w:val="00C41CF2"/>
    <w:rsid w:val="00CB5AE5"/>
    <w:rsid w:val="00CB7499"/>
    <w:rsid w:val="00D10A22"/>
    <w:rsid w:val="00D11626"/>
    <w:rsid w:val="00D542DB"/>
    <w:rsid w:val="00D5658F"/>
    <w:rsid w:val="00D86FD4"/>
    <w:rsid w:val="00DA627F"/>
    <w:rsid w:val="00DB0904"/>
    <w:rsid w:val="00DC5707"/>
    <w:rsid w:val="00E1639B"/>
    <w:rsid w:val="00E325FA"/>
    <w:rsid w:val="00E4043B"/>
    <w:rsid w:val="00E50821"/>
    <w:rsid w:val="00E62B63"/>
    <w:rsid w:val="00EA58B1"/>
    <w:rsid w:val="00EC45F1"/>
    <w:rsid w:val="00EE6B3E"/>
    <w:rsid w:val="00F5674B"/>
    <w:rsid w:val="00FA0E18"/>
    <w:rsid w:val="02A506E6"/>
    <w:rsid w:val="02DB180C"/>
    <w:rsid w:val="03496D2E"/>
    <w:rsid w:val="04633BA2"/>
    <w:rsid w:val="04DB2C4E"/>
    <w:rsid w:val="07E80F85"/>
    <w:rsid w:val="087B6C47"/>
    <w:rsid w:val="0A0F6A7E"/>
    <w:rsid w:val="0A4770C1"/>
    <w:rsid w:val="0B417BC4"/>
    <w:rsid w:val="0BE427B2"/>
    <w:rsid w:val="0C964EEB"/>
    <w:rsid w:val="0DB664B7"/>
    <w:rsid w:val="106D2F4E"/>
    <w:rsid w:val="121156A7"/>
    <w:rsid w:val="12CB3521"/>
    <w:rsid w:val="19017BF5"/>
    <w:rsid w:val="1E1B5ABC"/>
    <w:rsid w:val="1FA87D2F"/>
    <w:rsid w:val="20276D9C"/>
    <w:rsid w:val="216A571F"/>
    <w:rsid w:val="22C928BD"/>
    <w:rsid w:val="23072D34"/>
    <w:rsid w:val="24452791"/>
    <w:rsid w:val="25C76B53"/>
    <w:rsid w:val="293D61CA"/>
    <w:rsid w:val="29D02B27"/>
    <w:rsid w:val="2B8242B0"/>
    <w:rsid w:val="2C7501D3"/>
    <w:rsid w:val="2EBB28F4"/>
    <w:rsid w:val="310A20EA"/>
    <w:rsid w:val="323460F8"/>
    <w:rsid w:val="33C55B59"/>
    <w:rsid w:val="351D2FA6"/>
    <w:rsid w:val="35444AE3"/>
    <w:rsid w:val="3AC46B5A"/>
    <w:rsid w:val="3AE4535D"/>
    <w:rsid w:val="3DCC0D9A"/>
    <w:rsid w:val="3EA878B1"/>
    <w:rsid w:val="3F59330A"/>
    <w:rsid w:val="42004F1E"/>
    <w:rsid w:val="45893F8F"/>
    <w:rsid w:val="474F727B"/>
    <w:rsid w:val="4973035D"/>
    <w:rsid w:val="4D9740CE"/>
    <w:rsid w:val="4E7B4B6B"/>
    <w:rsid w:val="4ED63EC1"/>
    <w:rsid w:val="4FEC4CD0"/>
    <w:rsid w:val="506F122F"/>
    <w:rsid w:val="50953F9E"/>
    <w:rsid w:val="543F36F9"/>
    <w:rsid w:val="558D10D1"/>
    <w:rsid w:val="59680E8E"/>
    <w:rsid w:val="59F97E67"/>
    <w:rsid w:val="5D0E03A9"/>
    <w:rsid w:val="5DFFD2BC"/>
    <w:rsid w:val="5EED6238"/>
    <w:rsid w:val="626F542F"/>
    <w:rsid w:val="64967EEB"/>
    <w:rsid w:val="65614987"/>
    <w:rsid w:val="66D66B34"/>
    <w:rsid w:val="6B693DF5"/>
    <w:rsid w:val="6BF4A997"/>
    <w:rsid w:val="6C1C304A"/>
    <w:rsid w:val="6D0D2973"/>
    <w:rsid w:val="6F053E45"/>
    <w:rsid w:val="6F7624A4"/>
    <w:rsid w:val="702573F0"/>
    <w:rsid w:val="704B56AB"/>
    <w:rsid w:val="71367779"/>
    <w:rsid w:val="76D04A3D"/>
    <w:rsid w:val="77103031"/>
    <w:rsid w:val="77D7BC6E"/>
    <w:rsid w:val="77E75FB3"/>
    <w:rsid w:val="7B580C40"/>
    <w:rsid w:val="7F77C870"/>
    <w:rsid w:val="7FFBB2C1"/>
    <w:rsid w:val="BDFF4AB0"/>
    <w:rsid w:val="DBB3AC86"/>
    <w:rsid w:val="DBDFEED7"/>
    <w:rsid w:val="EB75FB75"/>
    <w:rsid w:val="EED7C6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11"/>
    <w:basedOn w:val="6"/>
    <w:qFormat/>
    <w:uiPriority w:val="0"/>
    <w:rPr>
      <w:rFonts w:ascii="font-weight : 400" w:hAnsi="font-weight : 400" w:eastAsia="font-weight : 400" w:cs="font-weight : 400"/>
      <w:color w:val="FF0000"/>
      <w:sz w:val="22"/>
      <w:szCs w:val="22"/>
      <w:u w:val="none"/>
    </w:rPr>
  </w:style>
  <w:style w:type="character" w:customStyle="1" w:styleId="10">
    <w:name w:val="font01"/>
    <w:basedOn w:val="6"/>
    <w:qFormat/>
    <w:uiPriority w:val="0"/>
    <w:rPr>
      <w:rFonts w:hint="default"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922</Words>
  <Characters>1074</Characters>
  <Lines>143</Lines>
  <Paragraphs>95</Paragraphs>
  <TotalTime>0</TotalTime>
  <ScaleCrop>false</ScaleCrop>
  <LinksUpToDate>false</LinksUpToDate>
  <CharactersWithSpaces>1149</CharactersWithSpaces>
  <Application>WPS Office_11.8.2.12185_F1E327BC-269C-435d-A152-05C5408002CA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2018-07-27T15:43:00Z</dcterms:created>
  <dc:creator>陈中平</dc:creator>
  <cp:lastModifiedBy>王文博</cp:lastModifiedBy>
  <cp:lastPrinted>2021-04-02T09:32:00Z</cp:lastPrinted>
  <dcterms:modified xsi:type="dcterms:W3CDTF">2025-07-10T11:21:10Z</dcterms:modified>
  <dc:title>厦门市自然资源和规划局直属分局“双随机”抽查事中事后监管台账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2052-11.8.2.12185</vt:lpwstr>
  </property>
  <property fmtid="{D5CDD505-2E9C-101B-9397-08002B2CF9AE}" pid="3" name="ICV">
    <vt:lpwstr>6A5D23B427F8790DCA276F68689528C7</vt:lpwstr>
  </property>
</Properties>
</file>