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rPr>
          <w:rFonts w:ascii="仿宋_GB2312" w:eastAsia="仿宋_GB2312" w:cs="仿宋_GB2312"/>
          <w:sz w:val="32"/>
          <w:szCs w:val="32"/>
        </w:rPr>
      </w:pPr>
      <w:bookmarkStart w:id="0" w:name="PO_STextS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before="117" w:line="223" w:lineRule="auto"/>
        <w:jc w:val="left"/>
        <w:rPr>
          <w:rFonts w:ascii="黑体" w:hAnsi="黑体" w:eastAsia="黑体" w:cs="宋体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spacing w:val="-15"/>
          <w:sz w:val="32"/>
          <w:szCs w:val="32"/>
        </w:rPr>
        <w:t>附件1</w:t>
      </w:r>
    </w:p>
    <w:p>
      <w:pPr>
        <w:spacing w:before="117" w:line="218" w:lineRule="auto"/>
        <w:jc w:val="center"/>
        <w:rPr>
          <w:rFonts w:ascii="方正小标宋简体" w:hAnsi="宋体" w:eastAsia="方正小标宋简体" w:cs="宋体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半年测绘资质检查情况汇总表</w:t>
      </w:r>
    </w:p>
    <w:tbl>
      <w:tblPr>
        <w:tblStyle w:val="7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884"/>
        <w:gridCol w:w="864"/>
        <w:gridCol w:w="4944"/>
        <w:gridCol w:w="1400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7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资质等级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检查情况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处理情况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符合测绘资质等级和业务范围标准情况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厦门地质工程勘察院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甲、乙级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:未建立仪器设备、软件台账，测绘仪器设备老旧作废未在测绘资质系统中及时更新，公司实际情况与系统信息不一致；2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未建立、档案制度未上墙；3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.保密室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：保密制度未上墙、保密室未安装防护设备、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日常各类台账未建立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聿华工程设计（厦门）有限公司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1.测绘仪器设备：一台仪器未在现场提供，仪器未检定；2.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档案制度未上墙、杂物需移除、档案室门为木门需配置铁门、日常各类台账未建立、未安装空调保持恒温；3.保密室：涉密电脑未使用红黑电源、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保密室未安装防护设备、未建立保密制度且保密制度未上墙。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厦门市交通建设工程检测有限公司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1.测绘仪器设备：一台仪器未在现场提供；2.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：防虫霉药、温湿度计台账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未建立；3.保密室：涉密电脑未使用红黑电源、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保密室监控设备需移除。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科泰（福建）勘测设计有限公司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名中级人员未在现场，两名中级人员职称证书未提供，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名人员学历证书未提供；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测绘仪器设备：仪器设备未提供发票原件、购销合同；3.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：测绘成果未建立台账；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4.保密室：涉密电脑未使用红黑电源、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保密室监控设备需移除。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中交一公局绿建（厦门）科技有限公司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名人员已离职，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人员变化未及时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更新，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名人员未在现场，人员职称证书原件未提供、保密人员培训证书已过期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；2.测绘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台仪器未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24台仪器未在现场提供，仪器设备台账未建立、仪器发票、购销合同未提供原件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：人员进出、测绘成果借阅台账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未建立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保密室：涉密电脑未贴涉密标识、未使用红黑电源、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保密室未安装防护设备、保密室门外未安装监控设备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6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厦门市鑫山河测绘有限公司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4名人员未在现场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2.测绘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6台仪器设备未在现场提供、8台仪器未检定、3台仪器未提供发票原件及购销合同、仪器设备台账未建立；3.档案室：未配置铁门铁窗、测绘成果档案未整理成册未建立台账，人员出入登记台账未建立；4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保密室：涉密电脑未使用红黑电源、未配置铁门、铁窗，未安装门禁防护设备，保密室外未安装监控设备。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7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厦门顺纵测绘有限公司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1台仪器未检定，仪器设备台账未建立；2.档案室：未配置铁门、日常各类台账未建立；3.保密室：未配置铁门，未安装门禁防护设备。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8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福建腾鼎鑫市政工程有限公司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人员：1名初级职称人员未在现场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且该名人员实际发放工资低于厦门最低工资标准，与签订的劳动合同中的工资不一致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；2.档案室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：测绘成果借阅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需完善、灭火器过期需更换、未安装空调保持恒温；4.保密室：涉密电脑未贴涉密标识、保密制度未上墙、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保密室未安装防护设备、保密室监控设备需移至门外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9</w:t>
            </w:r>
          </w:p>
        </w:tc>
        <w:tc>
          <w:tcPr>
            <w:tcW w:w="1326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中测星图（厦门）信息科技有限公司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88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员：人员劳动合同中工资低于厦门最低工资标准，社保缴纳基数低于厦门最低工资标准；2.测绘仪器设备：4台仪器未检定，6台仪器未提供发票、购销合同原件，仪器设备软件台账未建立；2.档案室：日常各类台账未建立、灭火器过期需更换；3.保密室：未配置门禁防护设备。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合格</w:t>
            </w:r>
          </w:p>
        </w:tc>
      </w:tr>
    </w:tbl>
    <w:p>
      <w:pPr>
        <w:spacing w:before="117" w:line="218" w:lineRule="auto"/>
        <w:jc w:val="left"/>
      </w:pPr>
      <w:bookmarkStart w:id="1" w:name="_GoBack"/>
      <w:bookmarkEnd w:id="1"/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 xml:space="preserve">      </w:t>
      </w:r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C7E02E9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6797264F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E7E19D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3170A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2024-07-31T19:04:00Z</dcterms:created>
  <dc:creator>宁帅帅</dc:creator>
  <cp:lastModifiedBy>张轲</cp:lastModifiedBy>
  <dcterms:modified xsi:type="dcterms:W3CDTF">2024-12-27T09:10:10Z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