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4DE10" w14:textId="77777777" w:rsidR="008C7CA7" w:rsidRDefault="008C7CA7" w:rsidP="008C7CA7">
      <w:pPr>
        <w:rPr>
          <w:rFonts w:ascii="宋体" w:hAnsi="宋体"/>
          <w:sz w:val="32"/>
          <w:szCs w:val="32"/>
        </w:rPr>
      </w:pPr>
      <w:r>
        <w:rPr>
          <w:rFonts w:ascii="宋体" w:hAnsi="宋体" w:hint="eastAsia"/>
          <w:sz w:val="32"/>
          <w:szCs w:val="32"/>
        </w:rPr>
        <w:t>附件2：        2021P0</w:t>
      </w:r>
      <w:r w:rsidR="00263674">
        <w:rPr>
          <w:rFonts w:ascii="宋体" w:hAnsi="宋体" w:hint="eastAsia"/>
          <w:sz w:val="32"/>
          <w:szCs w:val="32"/>
        </w:rPr>
        <w:t>4</w:t>
      </w:r>
      <w:r>
        <w:rPr>
          <w:rFonts w:ascii="宋体" w:hAnsi="宋体" w:hint="eastAsia"/>
          <w:sz w:val="32"/>
          <w:szCs w:val="32"/>
        </w:rPr>
        <w:t>地块规划设计条件</w:t>
      </w: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715"/>
        <w:gridCol w:w="700"/>
        <w:gridCol w:w="994"/>
        <w:gridCol w:w="962"/>
        <w:gridCol w:w="4425"/>
        <w:gridCol w:w="786"/>
      </w:tblGrid>
      <w:tr w:rsidR="008C7CA7" w14:paraId="2938A848" w14:textId="77777777" w:rsidTr="008C7CA7">
        <w:trPr>
          <w:trHeight w:val="522"/>
          <w:jc w:val="center"/>
        </w:trPr>
        <w:tc>
          <w:tcPr>
            <w:tcW w:w="426" w:type="dxa"/>
            <w:vAlign w:val="center"/>
          </w:tcPr>
          <w:p w14:paraId="5557F0AA" w14:textId="77777777" w:rsidR="008C7CA7" w:rsidRDefault="008C7CA7" w:rsidP="00CA555B">
            <w:pPr>
              <w:spacing w:line="240" w:lineRule="exact"/>
              <w:jc w:val="center"/>
              <w:rPr>
                <w:rFonts w:ascii="黑体" w:eastAsia="黑体" w:cs="黑体"/>
                <w:b/>
                <w:color w:val="323232"/>
                <w:spacing w:val="2"/>
                <w:kern w:val="0"/>
                <w:sz w:val="18"/>
                <w:szCs w:val="18"/>
                <w:lang w:val="zh-CN"/>
              </w:rPr>
            </w:pPr>
            <w:r>
              <w:rPr>
                <w:rFonts w:ascii="黑体" w:eastAsia="黑体" w:cs="黑体" w:hint="eastAsia"/>
                <w:b/>
                <w:color w:val="323232"/>
                <w:spacing w:val="2"/>
                <w:kern w:val="0"/>
                <w:sz w:val="18"/>
                <w:szCs w:val="18"/>
                <w:lang w:val="zh-CN"/>
              </w:rPr>
              <w:t>序号</w:t>
            </w:r>
          </w:p>
        </w:tc>
        <w:tc>
          <w:tcPr>
            <w:tcW w:w="2409" w:type="dxa"/>
            <w:gridSpan w:val="3"/>
            <w:vAlign w:val="center"/>
          </w:tcPr>
          <w:p w14:paraId="29B89655" w14:textId="77777777" w:rsidR="008C7CA7" w:rsidRDefault="008C7CA7" w:rsidP="00CA555B">
            <w:pPr>
              <w:spacing w:line="240" w:lineRule="exact"/>
              <w:rPr>
                <w:rFonts w:ascii="黑体" w:eastAsia="黑体" w:cs="黑体"/>
                <w:b/>
                <w:color w:val="323232"/>
                <w:spacing w:val="2"/>
                <w:kern w:val="0"/>
                <w:sz w:val="18"/>
                <w:szCs w:val="18"/>
                <w:lang w:val="zh-CN"/>
              </w:rPr>
            </w:pPr>
            <w:r>
              <w:rPr>
                <w:rFonts w:ascii="黑体" w:eastAsia="黑体" w:cs="黑体" w:hint="eastAsia"/>
                <w:b/>
                <w:color w:val="323232"/>
                <w:spacing w:val="2"/>
                <w:kern w:val="0"/>
                <w:sz w:val="18"/>
                <w:szCs w:val="18"/>
                <w:lang w:val="zh-CN"/>
              </w:rPr>
              <w:t>湖里区06-08五缘湾片区钟智西三路与钟宅中路交叉口西北侧地块</w:t>
            </w:r>
          </w:p>
        </w:tc>
        <w:tc>
          <w:tcPr>
            <w:tcW w:w="5387" w:type="dxa"/>
            <w:gridSpan w:val="2"/>
            <w:vAlign w:val="center"/>
          </w:tcPr>
          <w:p w14:paraId="296BF5ED" w14:textId="77777777" w:rsidR="008C7CA7" w:rsidRDefault="008C7CA7" w:rsidP="00CA555B">
            <w:pPr>
              <w:spacing w:line="240" w:lineRule="exact"/>
              <w:jc w:val="center"/>
              <w:rPr>
                <w:rFonts w:ascii="黑体" w:eastAsia="黑体" w:cs="黑体"/>
                <w:b/>
                <w:color w:val="323232"/>
                <w:spacing w:val="2"/>
                <w:kern w:val="0"/>
                <w:sz w:val="18"/>
                <w:szCs w:val="18"/>
                <w:lang w:val="zh-CN"/>
              </w:rPr>
            </w:pPr>
            <w:r>
              <w:rPr>
                <w:rFonts w:ascii="黑体" w:eastAsia="黑体" w:cs="黑体" w:hint="eastAsia"/>
                <w:b/>
                <w:color w:val="323232"/>
                <w:spacing w:val="2"/>
                <w:kern w:val="0"/>
                <w:sz w:val="18"/>
                <w:szCs w:val="18"/>
                <w:lang w:val="zh-CN"/>
              </w:rPr>
              <w:t>规划设计要求</w:t>
            </w:r>
          </w:p>
        </w:tc>
        <w:tc>
          <w:tcPr>
            <w:tcW w:w="786" w:type="dxa"/>
            <w:vAlign w:val="center"/>
          </w:tcPr>
          <w:p w14:paraId="2DC63DAC" w14:textId="77777777" w:rsidR="008C7CA7" w:rsidRDefault="008C7CA7" w:rsidP="00CA555B">
            <w:pPr>
              <w:spacing w:line="240" w:lineRule="exact"/>
              <w:jc w:val="center"/>
              <w:rPr>
                <w:rFonts w:ascii="黑体" w:eastAsia="黑体" w:cs="黑体"/>
                <w:b/>
                <w:color w:val="323232"/>
                <w:spacing w:val="2"/>
                <w:kern w:val="0"/>
                <w:sz w:val="18"/>
                <w:szCs w:val="18"/>
                <w:lang w:val="zh-CN"/>
              </w:rPr>
            </w:pPr>
            <w:r>
              <w:rPr>
                <w:rFonts w:ascii="黑体" w:eastAsia="黑体" w:cs="黑体" w:hint="eastAsia"/>
                <w:b/>
                <w:color w:val="323232"/>
                <w:spacing w:val="2"/>
                <w:kern w:val="0"/>
                <w:sz w:val="18"/>
                <w:szCs w:val="18"/>
                <w:lang w:val="zh-CN"/>
              </w:rPr>
              <w:t>备注</w:t>
            </w:r>
          </w:p>
        </w:tc>
      </w:tr>
      <w:tr w:rsidR="008C7CA7" w14:paraId="6C0AE8F9" w14:textId="77777777" w:rsidTr="008C7CA7">
        <w:trPr>
          <w:trHeight w:val="206"/>
          <w:jc w:val="center"/>
        </w:trPr>
        <w:tc>
          <w:tcPr>
            <w:tcW w:w="426" w:type="dxa"/>
            <w:vAlign w:val="center"/>
          </w:tcPr>
          <w:p w14:paraId="7D9C9FDA"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1</w:t>
            </w:r>
          </w:p>
        </w:tc>
        <w:tc>
          <w:tcPr>
            <w:tcW w:w="2409" w:type="dxa"/>
            <w:gridSpan w:val="3"/>
            <w:vAlign w:val="center"/>
          </w:tcPr>
          <w:p w14:paraId="7CAD7C42"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用地位置：</w:t>
            </w:r>
          </w:p>
        </w:tc>
        <w:tc>
          <w:tcPr>
            <w:tcW w:w="5387" w:type="dxa"/>
            <w:gridSpan w:val="2"/>
          </w:tcPr>
          <w:p w14:paraId="2684D8CE"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详见宗地平面界址图</w:t>
            </w:r>
          </w:p>
        </w:tc>
        <w:tc>
          <w:tcPr>
            <w:tcW w:w="786" w:type="dxa"/>
            <w:vAlign w:val="center"/>
          </w:tcPr>
          <w:p w14:paraId="517E0EC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6F85AD49" w14:textId="77777777" w:rsidTr="008C7CA7">
        <w:trPr>
          <w:trHeight w:val="126"/>
          <w:jc w:val="center"/>
        </w:trPr>
        <w:tc>
          <w:tcPr>
            <w:tcW w:w="426" w:type="dxa"/>
            <w:vAlign w:val="center"/>
          </w:tcPr>
          <w:p w14:paraId="7998871F"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2</w:t>
            </w:r>
          </w:p>
        </w:tc>
        <w:tc>
          <w:tcPr>
            <w:tcW w:w="2409" w:type="dxa"/>
            <w:gridSpan w:val="3"/>
            <w:vAlign w:val="center"/>
          </w:tcPr>
          <w:p w14:paraId="6B84BB67"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用地性质：</w:t>
            </w:r>
          </w:p>
        </w:tc>
        <w:tc>
          <w:tcPr>
            <w:tcW w:w="5387" w:type="dxa"/>
            <w:gridSpan w:val="2"/>
          </w:tcPr>
          <w:p w14:paraId="5E16441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rPr>
              <w:t>城镇住宅用地（</w:t>
            </w:r>
            <w:r>
              <w:rPr>
                <w:rFonts w:ascii="黑体" w:eastAsia="黑体" w:cs="黑体" w:hint="eastAsia"/>
                <w:color w:val="323232"/>
                <w:spacing w:val="2"/>
                <w:kern w:val="0"/>
                <w:sz w:val="18"/>
                <w:szCs w:val="18"/>
                <w:lang w:val="zh-CN"/>
              </w:rPr>
              <w:t>二类居住用地</w:t>
            </w:r>
            <w:r>
              <w:rPr>
                <w:rFonts w:ascii="黑体" w:eastAsia="黑体" w:cs="黑体" w:hint="eastAsia"/>
                <w:color w:val="323232"/>
                <w:spacing w:val="2"/>
                <w:kern w:val="0"/>
                <w:sz w:val="18"/>
                <w:szCs w:val="18"/>
              </w:rPr>
              <w:t>）</w:t>
            </w:r>
            <w:r>
              <w:rPr>
                <w:rFonts w:ascii="黑体" w:eastAsia="黑体" w:cs="黑体" w:hint="eastAsia"/>
                <w:color w:val="323232"/>
                <w:spacing w:val="2"/>
                <w:kern w:val="0"/>
                <w:sz w:val="18"/>
                <w:szCs w:val="18"/>
                <w:lang w:val="zh-CN"/>
              </w:rPr>
              <w:t>、</w:t>
            </w:r>
            <w:r>
              <w:rPr>
                <w:rFonts w:ascii="黑体" w:eastAsia="黑体" w:cs="黑体" w:hint="eastAsia"/>
                <w:color w:val="323232"/>
                <w:spacing w:val="2"/>
                <w:kern w:val="0"/>
                <w:sz w:val="18"/>
                <w:szCs w:val="18"/>
              </w:rPr>
              <w:t>教育用地（</w:t>
            </w:r>
            <w:r>
              <w:rPr>
                <w:rFonts w:ascii="黑体" w:eastAsia="黑体" w:cs="黑体" w:hint="eastAsia"/>
                <w:color w:val="323232"/>
                <w:spacing w:val="2"/>
                <w:kern w:val="0"/>
                <w:sz w:val="18"/>
                <w:szCs w:val="18"/>
                <w:lang w:val="zh-CN"/>
              </w:rPr>
              <w:t>幼儿园</w:t>
            </w:r>
            <w:r>
              <w:rPr>
                <w:rFonts w:ascii="黑体" w:eastAsia="黑体" w:cs="黑体" w:hint="eastAsia"/>
                <w:color w:val="323232"/>
                <w:spacing w:val="2"/>
                <w:kern w:val="0"/>
                <w:sz w:val="18"/>
                <w:szCs w:val="18"/>
              </w:rPr>
              <w:t>）</w:t>
            </w:r>
            <w:r>
              <w:rPr>
                <w:rFonts w:ascii="黑体" w:eastAsia="黑体" w:cs="黑体" w:hint="eastAsia"/>
                <w:color w:val="323232"/>
                <w:spacing w:val="2"/>
                <w:kern w:val="0"/>
                <w:sz w:val="18"/>
                <w:szCs w:val="18"/>
                <w:lang w:val="zh-CN"/>
              </w:rPr>
              <w:t>、</w:t>
            </w:r>
            <w:r>
              <w:rPr>
                <w:rFonts w:ascii="黑体" w:eastAsia="黑体" w:cs="黑体" w:hint="eastAsia"/>
                <w:color w:val="323232"/>
                <w:spacing w:val="2"/>
                <w:kern w:val="0"/>
                <w:sz w:val="18"/>
                <w:szCs w:val="18"/>
              </w:rPr>
              <w:t>零售商业用地（</w:t>
            </w:r>
            <w:r>
              <w:rPr>
                <w:rFonts w:ascii="黑体" w:eastAsia="黑体" w:cs="黑体" w:hint="eastAsia"/>
                <w:color w:val="323232"/>
                <w:spacing w:val="2"/>
                <w:kern w:val="0"/>
                <w:sz w:val="18"/>
                <w:szCs w:val="18"/>
                <w:lang w:val="zh-CN"/>
              </w:rPr>
              <w:t>商业、生鲜超市</w:t>
            </w:r>
            <w:r w:rsidR="00D2440E">
              <w:rPr>
                <w:rFonts w:ascii="黑体" w:eastAsia="黑体" w:cs="黑体" w:hint="eastAsia"/>
                <w:color w:val="323232"/>
                <w:spacing w:val="2"/>
                <w:kern w:val="0"/>
                <w:sz w:val="18"/>
                <w:szCs w:val="18"/>
                <w:lang w:val="zh-CN"/>
              </w:rPr>
              <w:t>便利店</w:t>
            </w:r>
            <w:r>
              <w:rPr>
                <w:rFonts w:ascii="黑体" w:eastAsia="黑体" w:cs="黑体" w:hint="eastAsia"/>
                <w:color w:val="323232"/>
                <w:spacing w:val="2"/>
                <w:kern w:val="0"/>
                <w:sz w:val="18"/>
                <w:szCs w:val="18"/>
              </w:rPr>
              <w:t>）</w:t>
            </w:r>
          </w:p>
        </w:tc>
        <w:tc>
          <w:tcPr>
            <w:tcW w:w="786" w:type="dxa"/>
            <w:vAlign w:val="center"/>
          </w:tcPr>
          <w:p w14:paraId="173F394B"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44C63E3A" w14:textId="77777777" w:rsidTr="008C7CA7">
        <w:trPr>
          <w:trHeight w:val="60"/>
          <w:jc w:val="center"/>
        </w:trPr>
        <w:tc>
          <w:tcPr>
            <w:tcW w:w="426" w:type="dxa"/>
            <w:vMerge w:val="restart"/>
            <w:vAlign w:val="center"/>
          </w:tcPr>
          <w:p w14:paraId="7655CED0"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3</w:t>
            </w:r>
          </w:p>
        </w:tc>
        <w:tc>
          <w:tcPr>
            <w:tcW w:w="715" w:type="dxa"/>
            <w:vMerge w:val="restart"/>
            <w:vAlign w:val="center"/>
          </w:tcPr>
          <w:p w14:paraId="54EC0729"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用地面积：</w:t>
            </w:r>
          </w:p>
        </w:tc>
        <w:tc>
          <w:tcPr>
            <w:tcW w:w="1694" w:type="dxa"/>
            <w:gridSpan w:val="2"/>
            <w:vAlign w:val="center"/>
          </w:tcPr>
          <w:p w14:paraId="7DDB84A3"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总用地面积：</w:t>
            </w:r>
          </w:p>
        </w:tc>
        <w:tc>
          <w:tcPr>
            <w:tcW w:w="5387" w:type="dxa"/>
            <w:gridSpan w:val="2"/>
          </w:tcPr>
          <w:p w14:paraId="697C4BC3"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t>33969.489</w:t>
            </w:r>
            <w:r>
              <w:rPr>
                <w:rFonts w:ascii="黑体" w:eastAsia="黑体" w:cs="黑体" w:hint="eastAsia"/>
                <w:color w:val="323232"/>
                <w:spacing w:val="2"/>
                <w:kern w:val="0"/>
                <w:sz w:val="18"/>
                <w:szCs w:val="18"/>
                <w:lang w:val="zh-CN"/>
              </w:rPr>
              <w:t>平方米</w:t>
            </w:r>
          </w:p>
        </w:tc>
        <w:tc>
          <w:tcPr>
            <w:tcW w:w="786" w:type="dxa"/>
            <w:vAlign w:val="center"/>
          </w:tcPr>
          <w:p w14:paraId="60735D11"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2226420" w14:textId="77777777" w:rsidTr="008C7CA7">
        <w:trPr>
          <w:trHeight w:val="422"/>
          <w:jc w:val="center"/>
        </w:trPr>
        <w:tc>
          <w:tcPr>
            <w:tcW w:w="426" w:type="dxa"/>
            <w:vMerge/>
            <w:vAlign w:val="center"/>
          </w:tcPr>
          <w:p w14:paraId="044E03E0"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FF762D2" w14:textId="77777777" w:rsidR="008C7CA7" w:rsidRDefault="008C7CA7" w:rsidP="00CA555B">
            <w:pPr>
              <w:spacing w:line="240" w:lineRule="exact"/>
              <w:rPr>
                <w:rFonts w:ascii="黑体" w:eastAsia="黑体" w:cs="黑体"/>
                <w:color w:val="323232"/>
                <w:spacing w:val="2"/>
                <w:kern w:val="0"/>
                <w:sz w:val="18"/>
                <w:szCs w:val="18"/>
                <w:lang w:val="zh-CN"/>
              </w:rPr>
            </w:pPr>
          </w:p>
        </w:tc>
        <w:tc>
          <w:tcPr>
            <w:tcW w:w="1694" w:type="dxa"/>
            <w:gridSpan w:val="2"/>
            <w:vAlign w:val="center"/>
          </w:tcPr>
          <w:p w14:paraId="1096DFD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不同性质用地占总用地面积：</w:t>
            </w:r>
          </w:p>
        </w:tc>
        <w:tc>
          <w:tcPr>
            <w:tcW w:w="5387" w:type="dxa"/>
            <w:gridSpan w:val="2"/>
            <w:vAlign w:val="center"/>
          </w:tcPr>
          <w:p w14:paraId="071614E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居住用地面积</w:t>
            </w:r>
            <w:r>
              <w:rPr>
                <w:rFonts w:ascii="黑体" w:eastAsia="黑体" w:cs="黑体" w:hint="eastAsia"/>
                <w:color w:val="323232"/>
                <w:spacing w:val="2"/>
                <w:kern w:val="0"/>
                <w:sz w:val="18"/>
                <w:szCs w:val="18"/>
              </w:rPr>
              <w:t>27969.489</w:t>
            </w:r>
            <w:r>
              <w:rPr>
                <w:rFonts w:ascii="黑体" w:eastAsia="黑体" w:cs="黑体" w:hint="eastAsia"/>
                <w:color w:val="323232"/>
                <w:spacing w:val="2"/>
                <w:kern w:val="0"/>
                <w:sz w:val="18"/>
                <w:szCs w:val="18"/>
                <w:lang w:val="zh-CN"/>
              </w:rPr>
              <w:t>平方米以下；</w:t>
            </w:r>
          </w:p>
          <w:p w14:paraId="752B79B6"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幼儿园（</w:t>
            </w:r>
            <w:r>
              <w:rPr>
                <w:rFonts w:ascii="黑体" w:eastAsia="黑体" w:cs="黑体"/>
                <w:color w:val="323232"/>
                <w:spacing w:val="2"/>
                <w:kern w:val="0"/>
                <w:sz w:val="18"/>
                <w:szCs w:val="18"/>
                <w:lang w:val="zh-CN"/>
              </w:rPr>
              <w:t>1</w:t>
            </w:r>
            <w:r>
              <w:rPr>
                <w:rFonts w:ascii="黑体" w:eastAsia="黑体" w:cs="黑体" w:hint="eastAsia"/>
                <w:color w:val="323232"/>
                <w:spacing w:val="2"/>
                <w:kern w:val="0"/>
                <w:sz w:val="18"/>
                <w:szCs w:val="18"/>
                <w:lang w:val="zh-CN"/>
              </w:rPr>
              <w:t>8班）用地面积不少于6000平方米。</w:t>
            </w:r>
          </w:p>
        </w:tc>
        <w:tc>
          <w:tcPr>
            <w:tcW w:w="786" w:type="dxa"/>
            <w:vAlign w:val="center"/>
          </w:tcPr>
          <w:p w14:paraId="1FE93EF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1A60725E" w14:textId="77777777" w:rsidTr="008C7CA7">
        <w:trPr>
          <w:trHeight w:val="70"/>
          <w:jc w:val="center"/>
        </w:trPr>
        <w:tc>
          <w:tcPr>
            <w:tcW w:w="426" w:type="dxa"/>
            <w:vMerge w:val="restart"/>
            <w:vAlign w:val="center"/>
          </w:tcPr>
          <w:p w14:paraId="0C67EEE7"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4</w:t>
            </w:r>
          </w:p>
        </w:tc>
        <w:tc>
          <w:tcPr>
            <w:tcW w:w="715" w:type="dxa"/>
            <w:vMerge w:val="restart"/>
            <w:vAlign w:val="center"/>
          </w:tcPr>
          <w:p w14:paraId="0A44CE24"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建筑面积：</w:t>
            </w:r>
          </w:p>
        </w:tc>
        <w:tc>
          <w:tcPr>
            <w:tcW w:w="1694" w:type="dxa"/>
            <w:gridSpan w:val="2"/>
            <w:vAlign w:val="center"/>
          </w:tcPr>
          <w:p w14:paraId="0CA4F3BA"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总建筑面积（计容）：</w:t>
            </w:r>
          </w:p>
        </w:tc>
        <w:tc>
          <w:tcPr>
            <w:tcW w:w="5387" w:type="dxa"/>
            <w:gridSpan w:val="2"/>
          </w:tcPr>
          <w:p w14:paraId="2F26E656" w14:textId="77777777" w:rsidR="008C7CA7" w:rsidRDefault="008C7CA7" w:rsidP="00CA555B">
            <w:pPr>
              <w:spacing w:line="240" w:lineRule="exact"/>
              <w:rPr>
                <w:rFonts w:ascii="黑体" w:eastAsia="黑体" w:cs="黑体"/>
                <w:color w:val="323232"/>
                <w:spacing w:val="2"/>
                <w:kern w:val="0"/>
                <w:sz w:val="18"/>
                <w:szCs w:val="18"/>
              </w:rPr>
            </w:pPr>
            <w:r>
              <w:rPr>
                <w:rFonts w:ascii="黑体" w:eastAsia="黑体" w:cs="黑体" w:hint="eastAsia"/>
                <w:color w:val="323232"/>
                <w:spacing w:val="2"/>
                <w:kern w:val="0"/>
                <w:sz w:val="18"/>
                <w:szCs w:val="18"/>
              </w:rPr>
              <w:t>111610</w:t>
            </w:r>
            <w:r>
              <w:rPr>
                <w:rFonts w:ascii="黑体" w:eastAsia="黑体" w:cs="黑体" w:hint="eastAsia"/>
                <w:color w:val="323232"/>
                <w:spacing w:val="2"/>
                <w:kern w:val="0"/>
                <w:sz w:val="18"/>
                <w:szCs w:val="18"/>
                <w:lang w:val="zh-CN"/>
              </w:rPr>
              <w:t>平方米以下</w:t>
            </w:r>
          </w:p>
        </w:tc>
        <w:tc>
          <w:tcPr>
            <w:tcW w:w="786" w:type="dxa"/>
            <w:vAlign w:val="center"/>
          </w:tcPr>
          <w:p w14:paraId="025F3AD3"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4C9449A4" w14:textId="77777777" w:rsidTr="008C7CA7">
        <w:trPr>
          <w:trHeight w:val="459"/>
          <w:jc w:val="center"/>
        </w:trPr>
        <w:tc>
          <w:tcPr>
            <w:tcW w:w="426" w:type="dxa"/>
            <w:vMerge/>
            <w:vAlign w:val="center"/>
          </w:tcPr>
          <w:p w14:paraId="01103F18"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6751360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restart"/>
            <w:vAlign w:val="center"/>
          </w:tcPr>
          <w:p w14:paraId="3191F712"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其中：</w:t>
            </w:r>
          </w:p>
        </w:tc>
        <w:tc>
          <w:tcPr>
            <w:tcW w:w="994" w:type="dxa"/>
            <w:vMerge w:val="restart"/>
            <w:vAlign w:val="center"/>
          </w:tcPr>
          <w:p w14:paraId="47C034A5"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不同性质建筑占总建筑面积（计容）：</w:t>
            </w:r>
          </w:p>
        </w:tc>
        <w:tc>
          <w:tcPr>
            <w:tcW w:w="5387" w:type="dxa"/>
            <w:gridSpan w:val="2"/>
            <w:vAlign w:val="center"/>
          </w:tcPr>
          <w:p w14:paraId="33B0863E"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居住：</w:t>
            </w:r>
            <w:r>
              <w:rPr>
                <w:rFonts w:ascii="黑体" w:eastAsia="黑体" w:cs="黑体" w:hint="eastAsia"/>
                <w:color w:val="323232"/>
                <w:spacing w:val="2"/>
                <w:kern w:val="0"/>
                <w:sz w:val="18"/>
                <w:szCs w:val="18"/>
              </w:rPr>
              <w:t>101910</w:t>
            </w:r>
            <w:r>
              <w:rPr>
                <w:rFonts w:ascii="黑体" w:eastAsia="黑体" w:cs="黑体" w:hint="eastAsia"/>
                <w:color w:val="323232"/>
                <w:spacing w:val="2"/>
                <w:kern w:val="0"/>
                <w:sz w:val="18"/>
                <w:szCs w:val="18"/>
                <w:lang w:val="zh-CN"/>
              </w:rPr>
              <w:t>平方米以下；</w:t>
            </w:r>
          </w:p>
          <w:p w14:paraId="161ACC5F"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商业：</w:t>
            </w:r>
            <w:r>
              <w:rPr>
                <w:rFonts w:ascii="黑体" w:eastAsia="黑体" w:cs="黑体"/>
                <w:color w:val="323232"/>
                <w:spacing w:val="2"/>
                <w:kern w:val="0"/>
                <w:sz w:val="18"/>
                <w:szCs w:val="18"/>
                <w:lang w:val="zh-CN"/>
              </w:rPr>
              <w:t>3200</w:t>
            </w:r>
            <w:r>
              <w:rPr>
                <w:rFonts w:ascii="黑体" w:eastAsia="黑体" w:cs="黑体" w:hint="eastAsia"/>
                <w:color w:val="323232"/>
                <w:spacing w:val="2"/>
                <w:kern w:val="0"/>
                <w:sz w:val="18"/>
                <w:szCs w:val="18"/>
                <w:lang w:val="zh-CN"/>
              </w:rPr>
              <w:t>平方米以下【含生鲜超市便利店1处，建筑面积不少于200平方米（套内建筑面积）】。</w:t>
            </w:r>
          </w:p>
        </w:tc>
        <w:tc>
          <w:tcPr>
            <w:tcW w:w="786" w:type="dxa"/>
            <w:vAlign w:val="center"/>
          </w:tcPr>
          <w:p w14:paraId="1D1F15C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482AC8B" w14:textId="77777777" w:rsidTr="008C7CA7">
        <w:trPr>
          <w:trHeight w:val="189"/>
          <w:jc w:val="center"/>
        </w:trPr>
        <w:tc>
          <w:tcPr>
            <w:tcW w:w="426" w:type="dxa"/>
            <w:vMerge/>
            <w:vAlign w:val="center"/>
          </w:tcPr>
          <w:p w14:paraId="6FD9EF3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16BA2A1B"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7EEE18A9"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0F34F6D8"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vAlign w:val="center"/>
          </w:tcPr>
          <w:p w14:paraId="7DEE8239" w14:textId="77777777" w:rsidR="008C7CA7" w:rsidRDefault="008C7CA7" w:rsidP="00CA555B">
            <w:pPr>
              <w:widowControl/>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其它配套：</w:t>
            </w:r>
          </w:p>
          <w:p w14:paraId="4206C90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t>1</w:t>
            </w:r>
            <w:r>
              <w:rPr>
                <w:rFonts w:ascii="黑体" w:eastAsia="黑体" w:cs="黑体" w:hint="eastAsia"/>
                <w:color w:val="323232"/>
                <w:spacing w:val="2"/>
                <w:kern w:val="0"/>
                <w:sz w:val="18"/>
                <w:szCs w:val="18"/>
                <w:lang w:val="zh-CN"/>
              </w:rPr>
              <w:t>8班幼儿园1处：建筑面积不小于6</w:t>
            </w:r>
            <w:r>
              <w:rPr>
                <w:rFonts w:ascii="黑体" w:eastAsia="黑体" w:cs="黑体"/>
                <w:color w:val="323232"/>
                <w:spacing w:val="2"/>
                <w:kern w:val="0"/>
                <w:sz w:val="18"/>
                <w:szCs w:val="18"/>
                <w:lang w:val="zh-CN"/>
              </w:rPr>
              <w:t>500</w:t>
            </w:r>
            <w:r>
              <w:rPr>
                <w:rFonts w:ascii="黑体" w:eastAsia="黑体" w:cs="黑体" w:hint="eastAsia"/>
                <w:color w:val="323232"/>
                <w:spacing w:val="2"/>
                <w:kern w:val="0"/>
                <w:sz w:val="18"/>
                <w:szCs w:val="18"/>
                <w:lang w:val="zh-CN"/>
              </w:rPr>
              <w:t>平方米。</w:t>
            </w:r>
          </w:p>
        </w:tc>
        <w:tc>
          <w:tcPr>
            <w:tcW w:w="786" w:type="dxa"/>
            <w:vAlign w:val="center"/>
          </w:tcPr>
          <w:p w14:paraId="195B095B"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3749E299" w14:textId="77777777" w:rsidTr="008C7CA7">
        <w:trPr>
          <w:trHeight w:val="245"/>
          <w:jc w:val="center"/>
        </w:trPr>
        <w:tc>
          <w:tcPr>
            <w:tcW w:w="426" w:type="dxa"/>
            <w:vAlign w:val="center"/>
          </w:tcPr>
          <w:p w14:paraId="34222B16"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5</w:t>
            </w:r>
          </w:p>
        </w:tc>
        <w:tc>
          <w:tcPr>
            <w:tcW w:w="2409" w:type="dxa"/>
            <w:gridSpan w:val="3"/>
            <w:vAlign w:val="center"/>
          </w:tcPr>
          <w:p w14:paraId="1DDBB5A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建筑密度（上限）：</w:t>
            </w:r>
          </w:p>
        </w:tc>
        <w:tc>
          <w:tcPr>
            <w:tcW w:w="5387" w:type="dxa"/>
            <w:gridSpan w:val="2"/>
          </w:tcPr>
          <w:p w14:paraId="10D36B4F"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t>25</w:t>
            </w:r>
            <w:r>
              <w:rPr>
                <w:rFonts w:ascii="黑体" w:eastAsia="黑体" w:cs="黑体" w:hint="eastAsia"/>
                <w:color w:val="323232"/>
                <w:spacing w:val="2"/>
                <w:kern w:val="0"/>
                <w:sz w:val="18"/>
                <w:szCs w:val="18"/>
                <w:lang w:val="zh-CN"/>
              </w:rPr>
              <w:t>%</w:t>
            </w:r>
          </w:p>
        </w:tc>
        <w:tc>
          <w:tcPr>
            <w:tcW w:w="786" w:type="dxa"/>
            <w:vAlign w:val="center"/>
          </w:tcPr>
          <w:p w14:paraId="19C8614F"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0AB80D6D" w14:textId="77777777" w:rsidTr="008C7CA7">
        <w:trPr>
          <w:trHeight w:val="270"/>
          <w:jc w:val="center"/>
        </w:trPr>
        <w:tc>
          <w:tcPr>
            <w:tcW w:w="426" w:type="dxa"/>
            <w:vAlign w:val="center"/>
          </w:tcPr>
          <w:p w14:paraId="2886EBB0"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6</w:t>
            </w:r>
          </w:p>
        </w:tc>
        <w:tc>
          <w:tcPr>
            <w:tcW w:w="2409" w:type="dxa"/>
            <w:gridSpan w:val="3"/>
            <w:vAlign w:val="center"/>
          </w:tcPr>
          <w:p w14:paraId="5B0C8C3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绿地率（下限）：</w:t>
            </w:r>
          </w:p>
        </w:tc>
        <w:tc>
          <w:tcPr>
            <w:tcW w:w="5387" w:type="dxa"/>
            <w:gridSpan w:val="2"/>
          </w:tcPr>
          <w:p w14:paraId="0B6AF1B2"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t>35</w:t>
            </w:r>
            <w:r>
              <w:rPr>
                <w:rFonts w:ascii="黑体" w:eastAsia="黑体" w:cs="黑体" w:hint="eastAsia"/>
                <w:color w:val="323232"/>
                <w:spacing w:val="2"/>
                <w:kern w:val="0"/>
                <w:sz w:val="18"/>
                <w:szCs w:val="18"/>
                <w:lang w:val="zh-CN"/>
              </w:rPr>
              <w:t>%</w:t>
            </w:r>
          </w:p>
        </w:tc>
        <w:tc>
          <w:tcPr>
            <w:tcW w:w="786" w:type="dxa"/>
            <w:vAlign w:val="center"/>
          </w:tcPr>
          <w:p w14:paraId="20C6EE7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0A89E5FA" w14:textId="77777777" w:rsidTr="008C7CA7">
        <w:trPr>
          <w:trHeight w:val="198"/>
          <w:jc w:val="center"/>
        </w:trPr>
        <w:tc>
          <w:tcPr>
            <w:tcW w:w="426" w:type="dxa"/>
            <w:vMerge w:val="restart"/>
            <w:vAlign w:val="center"/>
          </w:tcPr>
          <w:p w14:paraId="51E7C42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7</w:t>
            </w:r>
          </w:p>
        </w:tc>
        <w:tc>
          <w:tcPr>
            <w:tcW w:w="715" w:type="dxa"/>
            <w:vMerge w:val="restart"/>
            <w:vAlign w:val="center"/>
          </w:tcPr>
          <w:p w14:paraId="435DA0F4"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市政规划要求：</w:t>
            </w:r>
          </w:p>
        </w:tc>
        <w:tc>
          <w:tcPr>
            <w:tcW w:w="1694" w:type="dxa"/>
            <w:gridSpan w:val="2"/>
          </w:tcPr>
          <w:p w14:paraId="79F489BA"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市政配套设施：</w:t>
            </w:r>
          </w:p>
        </w:tc>
        <w:tc>
          <w:tcPr>
            <w:tcW w:w="5387" w:type="dxa"/>
            <w:gridSpan w:val="2"/>
          </w:tcPr>
          <w:p w14:paraId="3554A3A6"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0B16F38C"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38B7BDB9" w14:textId="77777777" w:rsidTr="008C7CA7">
        <w:trPr>
          <w:trHeight w:val="282"/>
          <w:jc w:val="center"/>
        </w:trPr>
        <w:tc>
          <w:tcPr>
            <w:tcW w:w="426" w:type="dxa"/>
            <w:vMerge/>
            <w:vAlign w:val="center"/>
          </w:tcPr>
          <w:p w14:paraId="6748706C"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610DDFCF" w14:textId="77777777" w:rsidR="008C7CA7" w:rsidRDefault="008C7CA7" w:rsidP="00CA555B">
            <w:pPr>
              <w:spacing w:line="240" w:lineRule="exact"/>
              <w:rPr>
                <w:rFonts w:ascii="黑体" w:eastAsia="黑体" w:cs="黑体"/>
                <w:color w:val="323232"/>
                <w:spacing w:val="2"/>
                <w:kern w:val="0"/>
                <w:sz w:val="18"/>
                <w:szCs w:val="18"/>
                <w:lang w:val="zh-CN"/>
              </w:rPr>
            </w:pPr>
          </w:p>
        </w:tc>
        <w:tc>
          <w:tcPr>
            <w:tcW w:w="1694" w:type="dxa"/>
            <w:gridSpan w:val="2"/>
            <w:vMerge w:val="restart"/>
          </w:tcPr>
          <w:p w14:paraId="6C4FFCB6"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基地主要机动车出入口：</w:t>
            </w:r>
          </w:p>
        </w:tc>
        <w:tc>
          <w:tcPr>
            <w:tcW w:w="5387" w:type="dxa"/>
            <w:gridSpan w:val="2"/>
          </w:tcPr>
          <w:p w14:paraId="539EBD44"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基地机动车出入口不得设置在南侧钟智西三路上。</w:t>
            </w:r>
          </w:p>
        </w:tc>
        <w:tc>
          <w:tcPr>
            <w:tcW w:w="786" w:type="dxa"/>
            <w:vAlign w:val="center"/>
          </w:tcPr>
          <w:p w14:paraId="0BCFA9F4"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6B0B56B9" w14:textId="77777777" w:rsidTr="008C7CA7">
        <w:trPr>
          <w:trHeight w:val="309"/>
          <w:jc w:val="center"/>
        </w:trPr>
        <w:tc>
          <w:tcPr>
            <w:tcW w:w="426" w:type="dxa"/>
            <w:vMerge/>
            <w:vAlign w:val="center"/>
          </w:tcPr>
          <w:p w14:paraId="7BF6320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2EE93B5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1694" w:type="dxa"/>
            <w:gridSpan w:val="2"/>
            <w:vMerge/>
          </w:tcPr>
          <w:p w14:paraId="449720F2"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tcPr>
          <w:p w14:paraId="74D7CCA9"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地下车库出入口起坡点紧临城市道路的必须设置在建筑基底线范围内或骑楼人行道建筑侧边线内。</w:t>
            </w:r>
          </w:p>
        </w:tc>
        <w:tc>
          <w:tcPr>
            <w:tcW w:w="786" w:type="dxa"/>
            <w:vAlign w:val="center"/>
          </w:tcPr>
          <w:p w14:paraId="15D36D0D"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343854BA" w14:textId="77777777" w:rsidTr="008C7CA7">
        <w:trPr>
          <w:trHeight w:val="309"/>
          <w:jc w:val="center"/>
        </w:trPr>
        <w:tc>
          <w:tcPr>
            <w:tcW w:w="426" w:type="dxa"/>
            <w:vMerge/>
            <w:vAlign w:val="center"/>
          </w:tcPr>
          <w:p w14:paraId="2D0AF098"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17BCB496" w14:textId="77777777" w:rsidR="008C7CA7" w:rsidRDefault="008C7CA7" w:rsidP="00CA555B">
            <w:pPr>
              <w:spacing w:line="240" w:lineRule="exact"/>
              <w:rPr>
                <w:rFonts w:ascii="黑体" w:eastAsia="黑体" w:cs="黑体"/>
                <w:color w:val="323232"/>
                <w:spacing w:val="2"/>
                <w:kern w:val="0"/>
                <w:sz w:val="18"/>
                <w:szCs w:val="18"/>
                <w:lang w:val="zh-CN"/>
              </w:rPr>
            </w:pPr>
          </w:p>
        </w:tc>
        <w:tc>
          <w:tcPr>
            <w:tcW w:w="1694" w:type="dxa"/>
            <w:gridSpan w:val="2"/>
            <w:vAlign w:val="center"/>
          </w:tcPr>
          <w:p w14:paraId="3D68AF44"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停车配建标准：</w:t>
            </w:r>
          </w:p>
        </w:tc>
        <w:tc>
          <w:tcPr>
            <w:tcW w:w="5387" w:type="dxa"/>
            <w:gridSpan w:val="2"/>
            <w:vAlign w:val="center"/>
          </w:tcPr>
          <w:p w14:paraId="74189632"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符合《厦门市建设项目停车设施配建标准（2020版）》（厦府【2020】81号）文要求。</w:t>
            </w:r>
          </w:p>
        </w:tc>
        <w:tc>
          <w:tcPr>
            <w:tcW w:w="786" w:type="dxa"/>
            <w:vAlign w:val="center"/>
          </w:tcPr>
          <w:p w14:paraId="6E46FBD7"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D8B0E2C" w14:textId="77777777" w:rsidTr="008C7CA7">
        <w:trPr>
          <w:trHeight w:val="240"/>
          <w:jc w:val="center"/>
        </w:trPr>
        <w:tc>
          <w:tcPr>
            <w:tcW w:w="426" w:type="dxa"/>
            <w:vMerge/>
            <w:vAlign w:val="center"/>
          </w:tcPr>
          <w:p w14:paraId="70173384"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452047E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restart"/>
          </w:tcPr>
          <w:p w14:paraId="0272AFE7"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城市生态环境要求：</w:t>
            </w:r>
          </w:p>
        </w:tc>
        <w:tc>
          <w:tcPr>
            <w:tcW w:w="994" w:type="dxa"/>
          </w:tcPr>
          <w:p w14:paraId="04D2DBA2"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总体</w:t>
            </w:r>
            <w:r>
              <w:rPr>
                <w:rFonts w:ascii="黑体" w:eastAsia="黑体" w:cs="黑体"/>
                <w:color w:val="323232"/>
                <w:spacing w:val="2"/>
                <w:kern w:val="0"/>
                <w:sz w:val="18"/>
                <w:szCs w:val="18"/>
                <w:lang w:val="zh-CN"/>
              </w:rPr>
              <w:t>要求</w:t>
            </w:r>
          </w:p>
        </w:tc>
        <w:tc>
          <w:tcPr>
            <w:tcW w:w="5387" w:type="dxa"/>
            <w:gridSpan w:val="2"/>
          </w:tcPr>
          <w:p w14:paraId="2840778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符合《海绵城市建设技术指南》（试行）、《福建省城镇排水系统规划导则》（试行）和《厦门市海绵城市建设技术规范》（试行）。</w:t>
            </w:r>
          </w:p>
        </w:tc>
        <w:tc>
          <w:tcPr>
            <w:tcW w:w="786" w:type="dxa"/>
            <w:vAlign w:val="center"/>
          </w:tcPr>
          <w:p w14:paraId="4C3522F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3FDE056" w14:textId="77777777" w:rsidTr="008C7CA7">
        <w:trPr>
          <w:trHeight w:val="218"/>
          <w:jc w:val="center"/>
        </w:trPr>
        <w:tc>
          <w:tcPr>
            <w:tcW w:w="426" w:type="dxa"/>
            <w:vMerge/>
            <w:vAlign w:val="center"/>
          </w:tcPr>
          <w:p w14:paraId="4AAB8533"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3121DFDA"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tcPr>
          <w:p w14:paraId="7B957E5E"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311DC3A0"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生态指标</w:t>
            </w:r>
          </w:p>
        </w:tc>
        <w:tc>
          <w:tcPr>
            <w:tcW w:w="5387" w:type="dxa"/>
            <w:gridSpan w:val="2"/>
            <w:vAlign w:val="center"/>
          </w:tcPr>
          <w:p w14:paraId="5DE6A51E" w14:textId="77777777" w:rsidR="008C7CA7" w:rsidRDefault="008C7CA7" w:rsidP="00CA555B">
            <w:pPr>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地块年径流总量控制率不小于</w:t>
            </w:r>
            <w:r>
              <w:rPr>
                <w:rFonts w:ascii="黑体" w:eastAsia="黑体" w:cs="黑体"/>
                <w:color w:val="323232"/>
                <w:spacing w:val="2"/>
                <w:kern w:val="0"/>
                <w:sz w:val="18"/>
                <w:szCs w:val="18"/>
                <w:lang w:val="zh-CN"/>
              </w:rPr>
              <w:t>75</w:t>
            </w:r>
            <w:r>
              <w:rPr>
                <w:rFonts w:ascii="黑体" w:eastAsia="黑体" w:cs="黑体" w:hint="eastAsia"/>
                <w:color w:val="323232"/>
                <w:spacing w:val="2"/>
                <w:kern w:val="0"/>
                <w:sz w:val="18"/>
                <w:szCs w:val="18"/>
                <w:lang w:val="zh-CN"/>
              </w:rPr>
              <w:t>%。</w:t>
            </w:r>
          </w:p>
        </w:tc>
        <w:tc>
          <w:tcPr>
            <w:tcW w:w="786" w:type="dxa"/>
            <w:vAlign w:val="center"/>
          </w:tcPr>
          <w:p w14:paraId="7459617D"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153F084" w14:textId="77777777" w:rsidTr="008C7CA7">
        <w:trPr>
          <w:trHeight w:val="420"/>
          <w:jc w:val="center"/>
        </w:trPr>
        <w:tc>
          <w:tcPr>
            <w:tcW w:w="426" w:type="dxa"/>
            <w:vAlign w:val="center"/>
          </w:tcPr>
          <w:p w14:paraId="5D941AAF"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8</w:t>
            </w:r>
          </w:p>
        </w:tc>
        <w:tc>
          <w:tcPr>
            <w:tcW w:w="2409" w:type="dxa"/>
            <w:gridSpan w:val="3"/>
            <w:vAlign w:val="center"/>
          </w:tcPr>
          <w:p w14:paraId="15D08471" w14:textId="77777777" w:rsidR="008C7CA7" w:rsidRDefault="008C7CA7" w:rsidP="00CA555B">
            <w:pPr>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公共配套服务设施规划要求</w:t>
            </w:r>
          </w:p>
        </w:tc>
        <w:tc>
          <w:tcPr>
            <w:tcW w:w="5387" w:type="dxa"/>
            <w:gridSpan w:val="2"/>
          </w:tcPr>
          <w:p w14:paraId="7B75A6DC"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生鲜超市便利店集中设置于地面一层，并紧邻地块主要出入口；</w:t>
            </w:r>
          </w:p>
          <w:p w14:paraId="6B8F2E85"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地块内配建幼儿园应</w:t>
            </w:r>
            <w:r>
              <w:rPr>
                <w:rFonts w:ascii="黑体" w:eastAsia="黑体" w:cs="黑体" w:hint="eastAsia"/>
                <w:color w:val="323232"/>
                <w:spacing w:val="2"/>
                <w:kern w:val="0"/>
                <w:sz w:val="18"/>
                <w:szCs w:val="18"/>
              </w:rPr>
              <w:t>临</w:t>
            </w:r>
            <w:r>
              <w:rPr>
                <w:rFonts w:ascii="黑体" w:eastAsia="黑体" w:cs="黑体" w:hint="eastAsia"/>
                <w:color w:val="323232"/>
                <w:spacing w:val="2"/>
                <w:kern w:val="0"/>
                <w:sz w:val="18"/>
                <w:szCs w:val="18"/>
                <w:lang w:val="zh-CN"/>
              </w:rPr>
              <w:t>市政道路</w:t>
            </w:r>
            <w:r>
              <w:rPr>
                <w:rFonts w:ascii="黑体" w:eastAsia="黑体" w:cs="黑体" w:hint="eastAsia"/>
                <w:color w:val="323232"/>
                <w:spacing w:val="2"/>
                <w:kern w:val="0"/>
                <w:sz w:val="18"/>
                <w:szCs w:val="18"/>
              </w:rPr>
              <w:t>独立</w:t>
            </w:r>
            <w:r>
              <w:rPr>
                <w:rFonts w:ascii="黑体" w:eastAsia="黑体" w:cs="黑体" w:hint="eastAsia"/>
                <w:color w:val="323232"/>
                <w:spacing w:val="2"/>
                <w:kern w:val="0"/>
                <w:sz w:val="18"/>
                <w:szCs w:val="18"/>
                <w:lang w:val="zh-CN"/>
              </w:rPr>
              <w:t>占地设置，并设置独立出入口。</w:t>
            </w:r>
          </w:p>
        </w:tc>
        <w:tc>
          <w:tcPr>
            <w:tcW w:w="786" w:type="dxa"/>
            <w:vAlign w:val="center"/>
          </w:tcPr>
          <w:p w14:paraId="6EF89408"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4357BC0" w14:textId="77777777" w:rsidTr="008C7CA7">
        <w:trPr>
          <w:trHeight w:val="226"/>
          <w:jc w:val="center"/>
        </w:trPr>
        <w:tc>
          <w:tcPr>
            <w:tcW w:w="426" w:type="dxa"/>
            <w:vMerge w:val="restart"/>
            <w:vAlign w:val="center"/>
          </w:tcPr>
          <w:p w14:paraId="1C3ECA4D"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9</w:t>
            </w:r>
          </w:p>
        </w:tc>
        <w:tc>
          <w:tcPr>
            <w:tcW w:w="715" w:type="dxa"/>
            <w:vMerge w:val="restart"/>
            <w:vAlign w:val="center"/>
          </w:tcPr>
          <w:p w14:paraId="2FE3B75A"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城市设计要求</w:t>
            </w:r>
          </w:p>
        </w:tc>
        <w:tc>
          <w:tcPr>
            <w:tcW w:w="700" w:type="dxa"/>
            <w:vMerge w:val="restart"/>
            <w:vAlign w:val="center"/>
          </w:tcPr>
          <w:p w14:paraId="4DFDC732"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建筑与空间关系：</w:t>
            </w:r>
          </w:p>
        </w:tc>
        <w:tc>
          <w:tcPr>
            <w:tcW w:w="994" w:type="dxa"/>
            <w:vMerge w:val="restart"/>
            <w:vAlign w:val="center"/>
          </w:tcPr>
          <w:p w14:paraId="1BCF984A"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建筑高度</w:t>
            </w:r>
          </w:p>
        </w:tc>
        <w:tc>
          <w:tcPr>
            <w:tcW w:w="962" w:type="dxa"/>
            <w:vMerge w:val="restart"/>
            <w:vAlign w:val="center"/>
          </w:tcPr>
          <w:p w14:paraId="06122188"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高度控制</w:t>
            </w:r>
          </w:p>
        </w:tc>
        <w:tc>
          <w:tcPr>
            <w:tcW w:w="4425" w:type="dxa"/>
          </w:tcPr>
          <w:p w14:paraId="009D1F4C" w14:textId="77777777" w:rsidR="008C7CA7" w:rsidRDefault="008C7CA7" w:rsidP="00CA555B">
            <w:pPr>
              <w:spacing w:line="240" w:lineRule="exact"/>
              <w:rPr>
                <w:rFonts w:ascii="黑体" w:eastAsia="黑体" w:cs="黑体"/>
                <w:color w:val="323232"/>
                <w:spacing w:val="2"/>
                <w:kern w:val="0"/>
                <w:sz w:val="18"/>
                <w:szCs w:val="18"/>
              </w:rPr>
            </w:pPr>
            <w:r>
              <w:rPr>
                <w:rFonts w:ascii="黑体" w:eastAsia="黑体" w:cs="黑体" w:hint="eastAsia"/>
                <w:color w:val="323232"/>
                <w:spacing w:val="2"/>
                <w:kern w:val="0"/>
                <w:sz w:val="18"/>
                <w:szCs w:val="18"/>
                <w:lang w:val="zh-CN"/>
              </w:rPr>
              <w:t>居住建筑高度24米以上。</w:t>
            </w:r>
          </w:p>
        </w:tc>
        <w:tc>
          <w:tcPr>
            <w:tcW w:w="786" w:type="dxa"/>
            <w:vAlign w:val="center"/>
          </w:tcPr>
          <w:p w14:paraId="26C665A0"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0F5CBDC2" w14:textId="77777777" w:rsidTr="008C7CA7">
        <w:trPr>
          <w:trHeight w:val="226"/>
          <w:jc w:val="center"/>
        </w:trPr>
        <w:tc>
          <w:tcPr>
            <w:tcW w:w="426" w:type="dxa"/>
            <w:vMerge/>
            <w:vAlign w:val="center"/>
          </w:tcPr>
          <w:p w14:paraId="32D944D0"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431A96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103CC1B4"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05DFDA2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Merge/>
          </w:tcPr>
          <w:p w14:paraId="77BFDF4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4425" w:type="dxa"/>
          </w:tcPr>
          <w:p w14:paraId="16E4B475"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符合航空</w:t>
            </w:r>
            <w:r>
              <w:rPr>
                <w:rFonts w:ascii="黑体" w:eastAsia="黑体" w:cs="黑体"/>
                <w:color w:val="323232"/>
                <w:spacing w:val="2"/>
                <w:kern w:val="0"/>
                <w:sz w:val="18"/>
                <w:szCs w:val="18"/>
                <w:lang w:val="zh-CN"/>
              </w:rPr>
              <w:t>限高要求</w:t>
            </w:r>
            <w:r>
              <w:rPr>
                <w:rFonts w:ascii="黑体" w:eastAsia="黑体" w:cs="黑体" w:hint="eastAsia"/>
                <w:color w:val="323232"/>
                <w:spacing w:val="2"/>
                <w:kern w:val="0"/>
                <w:sz w:val="18"/>
                <w:szCs w:val="18"/>
                <w:lang w:val="zh-CN"/>
              </w:rPr>
              <w:t>。</w:t>
            </w:r>
          </w:p>
        </w:tc>
        <w:tc>
          <w:tcPr>
            <w:tcW w:w="786" w:type="dxa"/>
            <w:vAlign w:val="center"/>
          </w:tcPr>
          <w:p w14:paraId="5EEB991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4A33FE7F" w14:textId="77777777" w:rsidTr="008C7CA7">
        <w:trPr>
          <w:trHeight w:val="226"/>
          <w:jc w:val="center"/>
        </w:trPr>
        <w:tc>
          <w:tcPr>
            <w:tcW w:w="426" w:type="dxa"/>
            <w:vMerge/>
            <w:vAlign w:val="center"/>
          </w:tcPr>
          <w:p w14:paraId="73E86A0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637A0D9"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0F2281AC"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39D558FC"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Merge w:val="restart"/>
          </w:tcPr>
          <w:p w14:paraId="48C3898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高低关系</w:t>
            </w:r>
          </w:p>
        </w:tc>
        <w:tc>
          <w:tcPr>
            <w:tcW w:w="4425" w:type="dxa"/>
          </w:tcPr>
          <w:p w14:paraId="10809D13"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西高</w:t>
            </w:r>
            <w:r>
              <w:rPr>
                <w:rFonts w:ascii="黑体" w:eastAsia="黑体" w:cs="黑体"/>
                <w:color w:val="323232"/>
                <w:spacing w:val="2"/>
                <w:kern w:val="0"/>
                <w:sz w:val="18"/>
                <w:szCs w:val="18"/>
                <w:lang w:val="zh-CN"/>
              </w:rPr>
              <w:t>东</w:t>
            </w:r>
            <w:r>
              <w:rPr>
                <w:rFonts w:ascii="黑体" w:eastAsia="黑体" w:cs="黑体" w:hint="eastAsia"/>
                <w:color w:val="323232"/>
                <w:spacing w:val="2"/>
                <w:kern w:val="0"/>
                <w:sz w:val="18"/>
                <w:szCs w:val="18"/>
                <w:lang w:val="zh-CN"/>
              </w:rPr>
              <w:t>低</w:t>
            </w:r>
            <w:r>
              <w:rPr>
                <w:rFonts w:ascii="黑体" w:eastAsia="黑体" w:cs="黑体"/>
                <w:color w:val="323232"/>
                <w:spacing w:val="2"/>
                <w:kern w:val="0"/>
                <w:sz w:val="18"/>
                <w:szCs w:val="18"/>
                <w:lang w:val="zh-CN"/>
              </w:rPr>
              <w:t>，</w:t>
            </w:r>
            <w:r>
              <w:rPr>
                <w:rFonts w:ascii="黑体" w:eastAsia="黑体" w:cs="黑体" w:hint="eastAsia"/>
                <w:color w:val="323232"/>
                <w:spacing w:val="2"/>
                <w:kern w:val="0"/>
                <w:sz w:val="18"/>
                <w:szCs w:val="18"/>
                <w:lang w:val="zh-CN"/>
              </w:rPr>
              <w:t>北</w:t>
            </w:r>
            <w:r>
              <w:rPr>
                <w:rFonts w:ascii="黑体" w:eastAsia="黑体" w:cs="黑体"/>
                <w:color w:val="323232"/>
                <w:spacing w:val="2"/>
                <w:kern w:val="0"/>
                <w:sz w:val="18"/>
                <w:szCs w:val="18"/>
                <w:lang w:val="zh-CN"/>
              </w:rPr>
              <w:t>高</w:t>
            </w:r>
            <w:r>
              <w:rPr>
                <w:rFonts w:ascii="黑体" w:eastAsia="黑体" w:cs="黑体" w:hint="eastAsia"/>
                <w:color w:val="323232"/>
                <w:spacing w:val="2"/>
                <w:kern w:val="0"/>
                <w:sz w:val="18"/>
                <w:szCs w:val="18"/>
                <w:lang w:val="zh-CN"/>
              </w:rPr>
              <w:t>南</w:t>
            </w:r>
            <w:r>
              <w:rPr>
                <w:rFonts w:ascii="黑体" w:eastAsia="黑体" w:cs="黑体"/>
                <w:color w:val="323232"/>
                <w:spacing w:val="2"/>
                <w:kern w:val="0"/>
                <w:sz w:val="18"/>
                <w:szCs w:val="18"/>
                <w:lang w:val="zh-CN"/>
              </w:rPr>
              <w:t>低</w:t>
            </w:r>
            <w:r>
              <w:rPr>
                <w:rFonts w:ascii="黑体" w:eastAsia="黑体" w:cs="黑体" w:hint="eastAsia"/>
                <w:color w:val="323232"/>
                <w:spacing w:val="2"/>
                <w:kern w:val="0"/>
                <w:sz w:val="18"/>
                <w:szCs w:val="18"/>
                <w:lang w:val="zh-CN"/>
              </w:rPr>
              <w:t>。</w:t>
            </w:r>
          </w:p>
        </w:tc>
        <w:tc>
          <w:tcPr>
            <w:tcW w:w="786" w:type="dxa"/>
            <w:vAlign w:val="center"/>
          </w:tcPr>
          <w:p w14:paraId="311693E1"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4E95E388" w14:textId="77777777" w:rsidTr="008C7CA7">
        <w:trPr>
          <w:trHeight w:val="226"/>
          <w:jc w:val="center"/>
        </w:trPr>
        <w:tc>
          <w:tcPr>
            <w:tcW w:w="426" w:type="dxa"/>
            <w:vMerge/>
            <w:vAlign w:val="center"/>
          </w:tcPr>
          <w:p w14:paraId="47B72D38"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94EAA70"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39ED768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65E841AD"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Merge/>
          </w:tcPr>
          <w:p w14:paraId="1A2C6BA2"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4425" w:type="dxa"/>
          </w:tcPr>
          <w:p w14:paraId="3529DAE7"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沿滨水岸线至滨水区域控制线，建筑高度应逐步提高。</w:t>
            </w:r>
          </w:p>
        </w:tc>
        <w:tc>
          <w:tcPr>
            <w:tcW w:w="786" w:type="dxa"/>
            <w:vAlign w:val="center"/>
          </w:tcPr>
          <w:p w14:paraId="21BF9A79"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312E776B" w14:textId="77777777" w:rsidTr="008C7CA7">
        <w:trPr>
          <w:trHeight w:val="226"/>
          <w:jc w:val="center"/>
        </w:trPr>
        <w:tc>
          <w:tcPr>
            <w:tcW w:w="426" w:type="dxa"/>
            <w:vMerge/>
            <w:vAlign w:val="center"/>
          </w:tcPr>
          <w:p w14:paraId="6746AE7F"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1DA1330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4C2F54CE"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restart"/>
            <w:vAlign w:val="center"/>
          </w:tcPr>
          <w:p w14:paraId="4ED544B1"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空间退让</w:t>
            </w:r>
          </w:p>
        </w:tc>
        <w:tc>
          <w:tcPr>
            <w:tcW w:w="962" w:type="dxa"/>
          </w:tcPr>
          <w:p w14:paraId="66B91CAE" w14:textId="77777777" w:rsidR="008C7CA7" w:rsidRDefault="008C7CA7" w:rsidP="00CA555B">
            <w:pPr>
              <w:spacing w:line="240" w:lineRule="exact"/>
              <w:jc w:val="center"/>
              <w:rPr>
                <w:rFonts w:ascii="黑体" w:eastAsia="黑体" w:cs="黑体"/>
                <w:color w:val="323232"/>
                <w:spacing w:val="2"/>
                <w:kern w:val="0"/>
                <w:sz w:val="18"/>
                <w:szCs w:val="18"/>
              </w:rPr>
            </w:pPr>
            <w:r>
              <w:rPr>
                <w:rFonts w:ascii="黑体" w:eastAsia="黑体" w:cs="黑体" w:hint="eastAsia"/>
                <w:color w:val="323232"/>
                <w:spacing w:val="2"/>
                <w:kern w:val="0"/>
                <w:sz w:val="18"/>
                <w:szCs w:val="18"/>
                <w:lang w:val="zh-CN"/>
              </w:rPr>
              <w:t>建筑退线</w:t>
            </w:r>
            <w:r>
              <w:rPr>
                <w:rFonts w:ascii="黑体" w:eastAsia="黑体" w:cs="黑体" w:hint="eastAsia"/>
                <w:color w:val="323232"/>
                <w:spacing w:val="2"/>
                <w:kern w:val="0"/>
                <w:sz w:val="18"/>
                <w:szCs w:val="18"/>
              </w:rPr>
              <w:t>及建筑间距</w:t>
            </w:r>
          </w:p>
        </w:tc>
        <w:tc>
          <w:tcPr>
            <w:tcW w:w="4425" w:type="dxa"/>
          </w:tcPr>
          <w:p w14:paraId="668E2C01"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rPr>
              <w:t>应满足《厦门市城乡规划管理技术规定》（2016年版）相关要求。</w:t>
            </w:r>
          </w:p>
        </w:tc>
        <w:tc>
          <w:tcPr>
            <w:tcW w:w="786" w:type="dxa"/>
            <w:vAlign w:val="center"/>
          </w:tcPr>
          <w:p w14:paraId="773B18AC"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3ECEFCF" w14:textId="77777777" w:rsidTr="008C7CA7">
        <w:trPr>
          <w:trHeight w:val="226"/>
          <w:jc w:val="center"/>
        </w:trPr>
        <w:tc>
          <w:tcPr>
            <w:tcW w:w="426" w:type="dxa"/>
            <w:vMerge/>
            <w:vAlign w:val="center"/>
          </w:tcPr>
          <w:p w14:paraId="5EA8244D"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73859568"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66C1A526"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2DE99213"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tcPr>
          <w:p w14:paraId="7495B2A0"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转角退让</w:t>
            </w:r>
          </w:p>
        </w:tc>
        <w:tc>
          <w:tcPr>
            <w:tcW w:w="4425" w:type="dxa"/>
          </w:tcPr>
          <w:p w14:paraId="2DF2882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4C5E2CE3"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35757F75" w14:textId="77777777" w:rsidTr="008C7CA7">
        <w:trPr>
          <w:trHeight w:val="226"/>
          <w:jc w:val="center"/>
        </w:trPr>
        <w:tc>
          <w:tcPr>
            <w:tcW w:w="426" w:type="dxa"/>
            <w:vMerge/>
            <w:vAlign w:val="center"/>
          </w:tcPr>
          <w:p w14:paraId="43B8AEE4"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1F1A40B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4D325951"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1F995D48"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Align w:val="center"/>
          </w:tcPr>
          <w:p w14:paraId="599C595D"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建筑贴线率</w:t>
            </w:r>
          </w:p>
        </w:tc>
        <w:tc>
          <w:tcPr>
            <w:tcW w:w="4425" w:type="dxa"/>
          </w:tcPr>
          <w:p w14:paraId="5E1D2631"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沿钟智西三路、</w:t>
            </w:r>
            <w:r>
              <w:rPr>
                <w:rFonts w:ascii="黑体" w:eastAsia="黑体" w:cs="黑体"/>
                <w:color w:val="323232"/>
                <w:spacing w:val="2"/>
                <w:kern w:val="0"/>
                <w:sz w:val="18"/>
                <w:szCs w:val="18"/>
                <w:lang w:val="zh-CN"/>
              </w:rPr>
              <w:t>钟宅中路</w:t>
            </w:r>
            <w:r>
              <w:rPr>
                <w:rFonts w:ascii="黑体" w:eastAsia="黑体" w:cs="黑体" w:hint="eastAsia"/>
                <w:color w:val="323232"/>
                <w:spacing w:val="2"/>
                <w:kern w:val="0"/>
                <w:sz w:val="18"/>
                <w:szCs w:val="18"/>
                <w:lang w:val="zh-CN"/>
              </w:rPr>
              <w:t>一侧的建筑，应形成连续的街道界面，贴线率不应低于60%。</w:t>
            </w:r>
          </w:p>
        </w:tc>
        <w:tc>
          <w:tcPr>
            <w:tcW w:w="786" w:type="dxa"/>
            <w:vAlign w:val="center"/>
          </w:tcPr>
          <w:p w14:paraId="1F4F04BD"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0416833C" w14:textId="77777777" w:rsidTr="008C7CA7">
        <w:trPr>
          <w:trHeight w:val="226"/>
          <w:jc w:val="center"/>
        </w:trPr>
        <w:tc>
          <w:tcPr>
            <w:tcW w:w="426" w:type="dxa"/>
            <w:vMerge/>
            <w:vAlign w:val="center"/>
          </w:tcPr>
          <w:p w14:paraId="77A77934"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6EE1A79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61E734AE"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restart"/>
            <w:vAlign w:val="center"/>
          </w:tcPr>
          <w:p w14:paraId="7DDCD58B"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建筑布局</w:t>
            </w:r>
          </w:p>
        </w:tc>
        <w:tc>
          <w:tcPr>
            <w:tcW w:w="962" w:type="dxa"/>
            <w:vAlign w:val="center"/>
          </w:tcPr>
          <w:p w14:paraId="1BF929A3"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建筑面宽</w:t>
            </w:r>
          </w:p>
        </w:tc>
        <w:tc>
          <w:tcPr>
            <w:tcW w:w="4425" w:type="dxa"/>
          </w:tcPr>
          <w:p w14:paraId="40BF1AAC"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高度大于18米的居住建筑，其最大连续展开面宽不应大于80米。</w:t>
            </w:r>
          </w:p>
        </w:tc>
        <w:tc>
          <w:tcPr>
            <w:tcW w:w="786" w:type="dxa"/>
            <w:vAlign w:val="center"/>
          </w:tcPr>
          <w:p w14:paraId="7E6F04C2"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0B4AA14" w14:textId="77777777" w:rsidTr="008C7CA7">
        <w:trPr>
          <w:trHeight w:val="226"/>
          <w:jc w:val="center"/>
        </w:trPr>
        <w:tc>
          <w:tcPr>
            <w:tcW w:w="426" w:type="dxa"/>
            <w:vMerge/>
            <w:vAlign w:val="center"/>
          </w:tcPr>
          <w:p w14:paraId="6EB558E7"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E209A64"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03CFCD91"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560DE1FB"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tcPr>
          <w:p w14:paraId="6DA33DC3"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建筑朝向</w:t>
            </w:r>
          </w:p>
        </w:tc>
        <w:tc>
          <w:tcPr>
            <w:tcW w:w="4425" w:type="dxa"/>
          </w:tcPr>
          <w:p w14:paraId="2A854B0A"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569C995F"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7A5D3576" w14:textId="77777777" w:rsidTr="008C7CA7">
        <w:trPr>
          <w:trHeight w:val="226"/>
          <w:jc w:val="center"/>
        </w:trPr>
        <w:tc>
          <w:tcPr>
            <w:tcW w:w="426" w:type="dxa"/>
            <w:vMerge/>
            <w:vAlign w:val="center"/>
          </w:tcPr>
          <w:p w14:paraId="3DED8F9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DA98065"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4AAF90E9"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restart"/>
            <w:vAlign w:val="center"/>
          </w:tcPr>
          <w:p w14:paraId="4C571BE7"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建筑风貌</w:t>
            </w:r>
          </w:p>
        </w:tc>
        <w:tc>
          <w:tcPr>
            <w:tcW w:w="962" w:type="dxa"/>
            <w:vAlign w:val="center"/>
          </w:tcPr>
          <w:p w14:paraId="44D63DEA"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建筑风格</w:t>
            </w:r>
          </w:p>
        </w:tc>
        <w:tc>
          <w:tcPr>
            <w:tcW w:w="4425" w:type="dxa"/>
          </w:tcPr>
          <w:p w14:paraId="6A12216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softHyphen/>
            </w:r>
            <w:r>
              <w:rPr>
                <w:rFonts w:ascii="黑体" w:eastAsia="黑体" w:cs="黑体" w:hint="eastAsia"/>
                <w:color w:val="323232"/>
                <w:spacing w:val="2"/>
                <w:kern w:val="0"/>
                <w:sz w:val="18"/>
                <w:szCs w:val="18"/>
                <w:lang w:val="zh-CN"/>
              </w:rPr>
              <w:t>滨水</w:t>
            </w:r>
            <w:r>
              <w:rPr>
                <w:rFonts w:ascii="黑体" w:eastAsia="黑体" w:cs="黑体"/>
                <w:color w:val="323232"/>
                <w:spacing w:val="2"/>
                <w:kern w:val="0"/>
                <w:sz w:val="18"/>
                <w:szCs w:val="18"/>
                <w:lang w:val="zh-CN"/>
              </w:rPr>
              <w:t>现代风格</w:t>
            </w:r>
            <w:r>
              <w:rPr>
                <w:rFonts w:ascii="黑体" w:eastAsia="黑体" w:cs="黑体" w:hint="eastAsia"/>
                <w:color w:val="323232"/>
                <w:spacing w:val="2"/>
                <w:kern w:val="0"/>
                <w:sz w:val="18"/>
                <w:szCs w:val="18"/>
                <w:lang w:val="zh-CN"/>
              </w:rPr>
              <w:t>，建筑风格须</w:t>
            </w:r>
            <w:r>
              <w:rPr>
                <w:rFonts w:ascii="黑体" w:eastAsia="黑体" w:cs="黑体"/>
                <w:color w:val="323232"/>
                <w:spacing w:val="2"/>
                <w:kern w:val="0"/>
                <w:sz w:val="18"/>
                <w:szCs w:val="18"/>
                <w:lang w:val="zh-CN"/>
              </w:rPr>
              <w:t>与周边建筑相协调。</w:t>
            </w:r>
          </w:p>
        </w:tc>
        <w:tc>
          <w:tcPr>
            <w:tcW w:w="786" w:type="dxa"/>
            <w:vAlign w:val="center"/>
          </w:tcPr>
          <w:p w14:paraId="54988618"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11F181C" w14:textId="77777777" w:rsidTr="008C7CA7">
        <w:trPr>
          <w:trHeight w:val="226"/>
          <w:jc w:val="center"/>
        </w:trPr>
        <w:tc>
          <w:tcPr>
            <w:tcW w:w="426" w:type="dxa"/>
            <w:vMerge/>
            <w:vAlign w:val="center"/>
          </w:tcPr>
          <w:p w14:paraId="64D8DB8A"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6E6B17B8"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1D79DED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67668E48"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Align w:val="center"/>
          </w:tcPr>
          <w:p w14:paraId="646D587D"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建筑色彩</w:t>
            </w:r>
          </w:p>
        </w:tc>
        <w:tc>
          <w:tcPr>
            <w:tcW w:w="4425" w:type="dxa"/>
          </w:tcPr>
          <w:p w14:paraId="51E8A8AC"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建筑色彩应选用淡雅明朗的浅灰色系或白色系。</w:t>
            </w:r>
          </w:p>
        </w:tc>
        <w:tc>
          <w:tcPr>
            <w:tcW w:w="786" w:type="dxa"/>
            <w:vAlign w:val="center"/>
          </w:tcPr>
          <w:p w14:paraId="659BB29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390F0E1E" w14:textId="77777777" w:rsidTr="008C7CA7">
        <w:trPr>
          <w:trHeight w:val="226"/>
          <w:jc w:val="center"/>
        </w:trPr>
        <w:tc>
          <w:tcPr>
            <w:tcW w:w="426" w:type="dxa"/>
            <w:vMerge/>
            <w:vAlign w:val="center"/>
          </w:tcPr>
          <w:p w14:paraId="40ECA810"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1F84900"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3D15610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78378C06"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vAlign w:val="center"/>
          </w:tcPr>
          <w:p w14:paraId="0603BD84"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建筑立面</w:t>
            </w:r>
          </w:p>
        </w:tc>
        <w:tc>
          <w:tcPr>
            <w:tcW w:w="4425" w:type="dxa"/>
          </w:tcPr>
          <w:p w14:paraId="588A23D4" w14:textId="77777777" w:rsidR="008C7CA7" w:rsidRDefault="008C7CA7" w:rsidP="00CA555B">
            <w:pPr>
              <w:spacing w:line="240" w:lineRule="exact"/>
              <w:rPr>
                <w:rFonts w:ascii="黑体" w:eastAsia="黑体" w:cs="黑体"/>
                <w:color w:val="323232"/>
                <w:spacing w:val="2"/>
                <w:kern w:val="0"/>
                <w:sz w:val="18"/>
                <w:szCs w:val="18"/>
              </w:rPr>
            </w:pPr>
            <w:r>
              <w:rPr>
                <w:rFonts w:ascii="黑体" w:eastAsia="黑体" w:cs="黑体" w:hint="eastAsia"/>
                <w:color w:val="323232"/>
                <w:spacing w:val="2"/>
                <w:kern w:val="0"/>
                <w:sz w:val="18"/>
                <w:szCs w:val="18"/>
              </w:rPr>
              <w:t>简洁现代。</w:t>
            </w:r>
          </w:p>
        </w:tc>
        <w:tc>
          <w:tcPr>
            <w:tcW w:w="786" w:type="dxa"/>
            <w:vAlign w:val="center"/>
          </w:tcPr>
          <w:p w14:paraId="468D62AB"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5795DDE7" w14:textId="77777777" w:rsidTr="008C7CA7">
        <w:trPr>
          <w:trHeight w:val="226"/>
          <w:jc w:val="center"/>
        </w:trPr>
        <w:tc>
          <w:tcPr>
            <w:tcW w:w="426" w:type="dxa"/>
            <w:vMerge/>
            <w:vAlign w:val="center"/>
          </w:tcPr>
          <w:p w14:paraId="119D602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D7D938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35925F9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Merge/>
            <w:vAlign w:val="center"/>
          </w:tcPr>
          <w:p w14:paraId="4B69F5C0"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962" w:type="dxa"/>
          </w:tcPr>
          <w:p w14:paraId="3B05B50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第五立面</w:t>
            </w:r>
          </w:p>
        </w:tc>
        <w:tc>
          <w:tcPr>
            <w:tcW w:w="4425" w:type="dxa"/>
          </w:tcPr>
          <w:p w14:paraId="64FF4F3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318F0A9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7372C5C9" w14:textId="77777777" w:rsidTr="008C7CA7">
        <w:trPr>
          <w:trHeight w:val="964"/>
          <w:jc w:val="center"/>
        </w:trPr>
        <w:tc>
          <w:tcPr>
            <w:tcW w:w="426" w:type="dxa"/>
            <w:vMerge/>
            <w:vAlign w:val="center"/>
          </w:tcPr>
          <w:p w14:paraId="2B6ED6B6"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62FDE41"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056E512A"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742C5AC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其他</w:t>
            </w:r>
          </w:p>
        </w:tc>
        <w:tc>
          <w:tcPr>
            <w:tcW w:w="962" w:type="dxa"/>
            <w:vAlign w:val="center"/>
          </w:tcPr>
          <w:p w14:paraId="64A43A32"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建筑附属设施</w:t>
            </w:r>
          </w:p>
        </w:tc>
        <w:tc>
          <w:tcPr>
            <w:tcW w:w="4425" w:type="dxa"/>
          </w:tcPr>
          <w:p w14:paraId="0B597432"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建筑设置室外空调机和临街居住建筑的晾衣设施、管道，应采用隐蔽式设计，统一形式和安装位置，设置统一的遮挡设施。挑檐、雨棚和遮阳棚的范围不得超出人行道，且高度应符合相关要求。</w:t>
            </w:r>
          </w:p>
        </w:tc>
        <w:tc>
          <w:tcPr>
            <w:tcW w:w="786" w:type="dxa"/>
            <w:vAlign w:val="center"/>
          </w:tcPr>
          <w:p w14:paraId="01CB6873"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3F4FCF01" w14:textId="77777777" w:rsidTr="008C7CA7">
        <w:trPr>
          <w:trHeight w:val="226"/>
          <w:jc w:val="center"/>
        </w:trPr>
        <w:tc>
          <w:tcPr>
            <w:tcW w:w="426" w:type="dxa"/>
            <w:vMerge/>
            <w:vAlign w:val="center"/>
          </w:tcPr>
          <w:p w14:paraId="151AB134"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C0CC1C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restart"/>
            <w:vAlign w:val="center"/>
          </w:tcPr>
          <w:p w14:paraId="5072B760"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公共空间</w:t>
            </w:r>
          </w:p>
        </w:tc>
        <w:tc>
          <w:tcPr>
            <w:tcW w:w="994" w:type="dxa"/>
            <w:vAlign w:val="center"/>
          </w:tcPr>
          <w:p w14:paraId="5BF1ADA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街头广场</w:t>
            </w:r>
          </w:p>
        </w:tc>
        <w:tc>
          <w:tcPr>
            <w:tcW w:w="5387" w:type="dxa"/>
            <w:gridSpan w:val="2"/>
          </w:tcPr>
          <w:p w14:paraId="61A08A7B"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66ED7935"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683E1359" w14:textId="77777777" w:rsidTr="008C7CA7">
        <w:trPr>
          <w:trHeight w:val="226"/>
          <w:jc w:val="center"/>
        </w:trPr>
        <w:tc>
          <w:tcPr>
            <w:tcW w:w="426" w:type="dxa"/>
            <w:vMerge/>
            <w:vAlign w:val="center"/>
          </w:tcPr>
          <w:p w14:paraId="73C530A7"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tcPr>
          <w:p w14:paraId="6EE867F5"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64E9146B"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5CC134C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步行绿道</w:t>
            </w:r>
          </w:p>
        </w:tc>
        <w:tc>
          <w:tcPr>
            <w:tcW w:w="5387" w:type="dxa"/>
            <w:gridSpan w:val="2"/>
          </w:tcPr>
          <w:p w14:paraId="7B134D79"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2E901338"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6A6FF78F" w14:textId="77777777" w:rsidTr="008C7CA7">
        <w:trPr>
          <w:trHeight w:val="226"/>
          <w:jc w:val="center"/>
        </w:trPr>
        <w:tc>
          <w:tcPr>
            <w:tcW w:w="426" w:type="dxa"/>
            <w:vMerge/>
            <w:vAlign w:val="center"/>
          </w:tcPr>
          <w:p w14:paraId="30792C87"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3ADFFC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353B1D4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37DE5940"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视线通廊</w:t>
            </w:r>
          </w:p>
        </w:tc>
        <w:tc>
          <w:tcPr>
            <w:tcW w:w="5387" w:type="dxa"/>
            <w:gridSpan w:val="2"/>
          </w:tcPr>
          <w:p w14:paraId="6812B1C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303B3513"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62764111" w14:textId="77777777" w:rsidTr="008C7CA7">
        <w:trPr>
          <w:trHeight w:val="226"/>
          <w:jc w:val="center"/>
        </w:trPr>
        <w:tc>
          <w:tcPr>
            <w:tcW w:w="426" w:type="dxa"/>
            <w:vMerge/>
            <w:vAlign w:val="center"/>
          </w:tcPr>
          <w:p w14:paraId="64792B19"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17774B7B"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569768A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0996A6A3"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骑楼</w:t>
            </w:r>
          </w:p>
        </w:tc>
        <w:tc>
          <w:tcPr>
            <w:tcW w:w="5387" w:type="dxa"/>
            <w:gridSpan w:val="2"/>
          </w:tcPr>
          <w:p w14:paraId="73837821"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15A47DA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7B2EF485" w14:textId="77777777" w:rsidTr="008C7CA7">
        <w:trPr>
          <w:trHeight w:val="226"/>
          <w:jc w:val="center"/>
        </w:trPr>
        <w:tc>
          <w:tcPr>
            <w:tcW w:w="426" w:type="dxa"/>
            <w:vMerge/>
            <w:vAlign w:val="center"/>
          </w:tcPr>
          <w:p w14:paraId="6DAB269A"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9F4E4B2"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22F65928"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5FC71ADD"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退让空间</w:t>
            </w:r>
          </w:p>
        </w:tc>
        <w:tc>
          <w:tcPr>
            <w:tcW w:w="5387" w:type="dxa"/>
            <w:gridSpan w:val="2"/>
          </w:tcPr>
          <w:p w14:paraId="745E672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rPr>
              <w:t>沿街商业位置的</w:t>
            </w:r>
            <w:r>
              <w:rPr>
                <w:rFonts w:ascii="黑体" w:eastAsia="黑体" w:cs="黑体" w:hint="eastAsia"/>
                <w:color w:val="323232"/>
                <w:spacing w:val="2"/>
                <w:kern w:val="0"/>
                <w:sz w:val="18"/>
                <w:szCs w:val="18"/>
                <w:lang w:val="zh-CN"/>
              </w:rPr>
              <w:t>退线空间应对外开放，与红线外道路人行道进行一体化设计，统筹步行通行区、设施带与建筑前区空间。开放式退线应与红线内人行道采用相同标高及铺装，限制设置围墙、停车、不可进入的消极绿化等设施，保证空间的联通与灵活使用。</w:t>
            </w:r>
          </w:p>
        </w:tc>
        <w:tc>
          <w:tcPr>
            <w:tcW w:w="786" w:type="dxa"/>
            <w:vAlign w:val="center"/>
          </w:tcPr>
          <w:p w14:paraId="64A72478"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1FF6959F" w14:textId="77777777" w:rsidTr="008C7CA7">
        <w:trPr>
          <w:trHeight w:val="226"/>
          <w:jc w:val="center"/>
        </w:trPr>
        <w:tc>
          <w:tcPr>
            <w:tcW w:w="426" w:type="dxa"/>
            <w:vMerge/>
            <w:vAlign w:val="center"/>
          </w:tcPr>
          <w:p w14:paraId="536785DB"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4586FFFF"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6717A084"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1075E1B7"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其他</w:t>
            </w:r>
          </w:p>
        </w:tc>
        <w:tc>
          <w:tcPr>
            <w:tcW w:w="962" w:type="dxa"/>
          </w:tcPr>
          <w:p w14:paraId="1560E354"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出入口</w:t>
            </w:r>
          </w:p>
        </w:tc>
        <w:tc>
          <w:tcPr>
            <w:tcW w:w="4425" w:type="dxa"/>
          </w:tcPr>
          <w:p w14:paraId="40FDC9AF"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人行和车行出入口应分开，人行出入口应与公交车站、地铁站有方便的步行联系。</w:t>
            </w:r>
          </w:p>
        </w:tc>
        <w:tc>
          <w:tcPr>
            <w:tcW w:w="786" w:type="dxa"/>
            <w:vAlign w:val="center"/>
          </w:tcPr>
          <w:p w14:paraId="632F12F1"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6B9F07D8" w14:textId="77777777" w:rsidTr="008C7CA7">
        <w:trPr>
          <w:trHeight w:val="226"/>
          <w:jc w:val="center"/>
        </w:trPr>
        <w:tc>
          <w:tcPr>
            <w:tcW w:w="426" w:type="dxa"/>
            <w:vMerge/>
            <w:vAlign w:val="center"/>
          </w:tcPr>
          <w:p w14:paraId="51D6C815"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37C6A6DF"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restart"/>
            <w:vAlign w:val="center"/>
          </w:tcPr>
          <w:p w14:paraId="5AFC794D" w14:textId="77777777" w:rsidR="008C7CA7" w:rsidRDefault="008C7CA7" w:rsidP="008C7CA7">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公共景观</w:t>
            </w:r>
          </w:p>
        </w:tc>
        <w:tc>
          <w:tcPr>
            <w:tcW w:w="994" w:type="dxa"/>
            <w:vAlign w:val="center"/>
          </w:tcPr>
          <w:p w14:paraId="22C652F8"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color w:val="323232"/>
                <w:spacing w:val="2"/>
                <w:kern w:val="0"/>
                <w:sz w:val="18"/>
                <w:szCs w:val="18"/>
                <w:lang w:val="zh-CN"/>
              </w:rPr>
              <w:t>沿街建筑界面</w:t>
            </w:r>
          </w:p>
        </w:tc>
        <w:tc>
          <w:tcPr>
            <w:tcW w:w="5387" w:type="dxa"/>
            <w:gridSpan w:val="2"/>
          </w:tcPr>
          <w:p w14:paraId="2D69BF53"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4CDD94B7"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288C4C94" w14:textId="77777777" w:rsidTr="008C7CA7">
        <w:trPr>
          <w:trHeight w:val="226"/>
          <w:jc w:val="center"/>
        </w:trPr>
        <w:tc>
          <w:tcPr>
            <w:tcW w:w="426" w:type="dxa"/>
            <w:vMerge/>
            <w:vAlign w:val="center"/>
          </w:tcPr>
          <w:p w14:paraId="4EFCE1BA"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566C8AF0"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tcPr>
          <w:p w14:paraId="1D1B0862"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311D605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夜景控制</w:t>
            </w:r>
          </w:p>
        </w:tc>
        <w:tc>
          <w:tcPr>
            <w:tcW w:w="5387" w:type="dxa"/>
            <w:gridSpan w:val="2"/>
          </w:tcPr>
          <w:p w14:paraId="4F066B35"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建设方案应考虑夜景照明控制，并和方案同步上报夜景主管部门审批。</w:t>
            </w:r>
          </w:p>
        </w:tc>
        <w:tc>
          <w:tcPr>
            <w:tcW w:w="786" w:type="dxa"/>
            <w:vAlign w:val="center"/>
          </w:tcPr>
          <w:p w14:paraId="444BBC8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CC4AFA8" w14:textId="77777777" w:rsidTr="008C7CA7">
        <w:trPr>
          <w:trHeight w:val="226"/>
          <w:jc w:val="center"/>
        </w:trPr>
        <w:tc>
          <w:tcPr>
            <w:tcW w:w="426" w:type="dxa"/>
            <w:vMerge/>
            <w:vAlign w:val="center"/>
          </w:tcPr>
          <w:p w14:paraId="296292D3"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45A75FF3"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4118C911"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6EE65835"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垂直绿化</w:t>
            </w:r>
          </w:p>
        </w:tc>
        <w:tc>
          <w:tcPr>
            <w:tcW w:w="5387" w:type="dxa"/>
            <w:gridSpan w:val="2"/>
          </w:tcPr>
          <w:p w14:paraId="15D2CA97"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52B2B488"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201E9CBC" w14:textId="77777777" w:rsidTr="008C7CA7">
        <w:trPr>
          <w:trHeight w:val="226"/>
          <w:jc w:val="center"/>
        </w:trPr>
        <w:tc>
          <w:tcPr>
            <w:tcW w:w="426" w:type="dxa"/>
            <w:vMerge/>
            <w:vAlign w:val="center"/>
          </w:tcPr>
          <w:p w14:paraId="1093893D"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0704AE66"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59A32C3C"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63E4E7F1"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其他</w:t>
            </w:r>
          </w:p>
        </w:tc>
        <w:tc>
          <w:tcPr>
            <w:tcW w:w="5387" w:type="dxa"/>
            <w:gridSpan w:val="2"/>
          </w:tcPr>
          <w:p w14:paraId="5FA2E2D6"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06E5273A"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093D37D6" w14:textId="77777777" w:rsidTr="008C7CA7">
        <w:trPr>
          <w:trHeight w:val="226"/>
          <w:jc w:val="center"/>
        </w:trPr>
        <w:tc>
          <w:tcPr>
            <w:tcW w:w="426" w:type="dxa"/>
            <w:vMerge/>
            <w:vAlign w:val="center"/>
          </w:tcPr>
          <w:p w14:paraId="516FA8C5"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43AA6A8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restart"/>
            <w:vAlign w:val="center"/>
          </w:tcPr>
          <w:p w14:paraId="7BC68D05"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公共设施：</w:t>
            </w:r>
          </w:p>
          <w:p w14:paraId="0B1CE4F1"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6E87A938"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标识标志</w:t>
            </w:r>
          </w:p>
        </w:tc>
        <w:tc>
          <w:tcPr>
            <w:tcW w:w="5387" w:type="dxa"/>
            <w:gridSpan w:val="2"/>
          </w:tcPr>
          <w:p w14:paraId="6573C7F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导向标识主体应使用搪瓷、不锈钢、石材等耐磨且便于清洁的材质。可结合公共场所中的其他要素（设施或景观）进行一体化设计。</w:t>
            </w:r>
          </w:p>
        </w:tc>
        <w:tc>
          <w:tcPr>
            <w:tcW w:w="786" w:type="dxa"/>
            <w:vAlign w:val="center"/>
          </w:tcPr>
          <w:p w14:paraId="25CB7466"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1195B76F" w14:textId="77777777" w:rsidTr="008C7CA7">
        <w:trPr>
          <w:trHeight w:val="226"/>
          <w:jc w:val="center"/>
        </w:trPr>
        <w:tc>
          <w:tcPr>
            <w:tcW w:w="426" w:type="dxa"/>
            <w:vMerge/>
            <w:vAlign w:val="center"/>
          </w:tcPr>
          <w:p w14:paraId="0C93CADC"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1CDA23A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77968D50"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65B8397C"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街道家具</w:t>
            </w:r>
          </w:p>
        </w:tc>
        <w:tc>
          <w:tcPr>
            <w:tcW w:w="5387" w:type="dxa"/>
            <w:gridSpan w:val="2"/>
          </w:tcPr>
          <w:p w14:paraId="67823AF6"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0A1CE54F"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226BA4F2" w14:textId="77777777" w:rsidTr="008C7CA7">
        <w:trPr>
          <w:trHeight w:val="226"/>
          <w:jc w:val="center"/>
        </w:trPr>
        <w:tc>
          <w:tcPr>
            <w:tcW w:w="426" w:type="dxa"/>
            <w:vMerge/>
            <w:vAlign w:val="center"/>
          </w:tcPr>
          <w:p w14:paraId="37AAC57D"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715" w:type="dxa"/>
            <w:vMerge/>
            <w:vAlign w:val="center"/>
          </w:tcPr>
          <w:p w14:paraId="2D670DAD" w14:textId="77777777" w:rsidR="008C7CA7" w:rsidRDefault="008C7CA7" w:rsidP="00CA555B">
            <w:pPr>
              <w:spacing w:line="240" w:lineRule="exact"/>
              <w:rPr>
                <w:rFonts w:ascii="黑体" w:eastAsia="黑体" w:cs="黑体"/>
                <w:color w:val="323232"/>
                <w:spacing w:val="2"/>
                <w:kern w:val="0"/>
                <w:sz w:val="18"/>
                <w:szCs w:val="18"/>
                <w:lang w:val="zh-CN"/>
              </w:rPr>
            </w:pPr>
          </w:p>
        </w:tc>
        <w:tc>
          <w:tcPr>
            <w:tcW w:w="700" w:type="dxa"/>
            <w:vMerge/>
            <w:vAlign w:val="center"/>
          </w:tcPr>
          <w:p w14:paraId="6584615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994" w:type="dxa"/>
            <w:vAlign w:val="center"/>
          </w:tcPr>
          <w:p w14:paraId="229728FD"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其他</w:t>
            </w:r>
          </w:p>
        </w:tc>
        <w:tc>
          <w:tcPr>
            <w:tcW w:w="5387" w:type="dxa"/>
            <w:gridSpan w:val="2"/>
          </w:tcPr>
          <w:p w14:paraId="1C0C3858"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w:t>
            </w:r>
          </w:p>
        </w:tc>
        <w:tc>
          <w:tcPr>
            <w:tcW w:w="786" w:type="dxa"/>
            <w:vAlign w:val="center"/>
          </w:tcPr>
          <w:p w14:paraId="1BDA57EB"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w:t>
            </w:r>
          </w:p>
        </w:tc>
      </w:tr>
      <w:tr w:rsidR="008C7CA7" w14:paraId="2176B113" w14:textId="77777777" w:rsidTr="008C7CA7">
        <w:trPr>
          <w:trHeight w:val="226"/>
          <w:jc w:val="center"/>
        </w:trPr>
        <w:tc>
          <w:tcPr>
            <w:tcW w:w="426" w:type="dxa"/>
            <w:vMerge w:val="restart"/>
            <w:vAlign w:val="center"/>
          </w:tcPr>
          <w:p w14:paraId="16A391D6" w14:textId="77777777" w:rsidR="008C7CA7" w:rsidRDefault="008C7CA7" w:rsidP="00CA555B">
            <w:pPr>
              <w:spacing w:line="240" w:lineRule="exact"/>
              <w:jc w:val="cente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1</w:t>
            </w:r>
            <w:r>
              <w:rPr>
                <w:rFonts w:ascii="黑体" w:eastAsia="黑体" w:cs="黑体" w:hint="eastAsia"/>
                <w:color w:val="323232"/>
                <w:spacing w:val="2"/>
                <w:kern w:val="0"/>
                <w:sz w:val="18"/>
                <w:szCs w:val="18"/>
              </w:rPr>
              <w:t>0</w:t>
            </w:r>
          </w:p>
        </w:tc>
        <w:tc>
          <w:tcPr>
            <w:tcW w:w="2409" w:type="dxa"/>
            <w:gridSpan w:val="3"/>
            <w:vMerge w:val="restart"/>
            <w:vAlign w:val="center"/>
          </w:tcPr>
          <w:p w14:paraId="1C1E81E1"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其它要求</w:t>
            </w:r>
          </w:p>
        </w:tc>
        <w:tc>
          <w:tcPr>
            <w:tcW w:w="5387" w:type="dxa"/>
            <w:gridSpan w:val="2"/>
          </w:tcPr>
          <w:p w14:paraId="596964FC"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若本地块周边规划轨道线路，规划轨道安全保护区范围内的建设需征得地铁办的意见。</w:t>
            </w:r>
          </w:p>
        </w:tc>
        <w:tc>
          <w:tcPr>
            <w:tcW w:w="786" w:type="dxa"/>
            <w:vAlign w:val="center"/>
          </w:tcPr>
          <w:p w14:paraId="3B5405FE"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2EDF7564" w14:textId="77777777" w:rsidTr="008C7CA7">
        <w:trPr>
          <w:trHeight w:val="226"/>
          <w:jc w:val="center"/>
        </w:trPr>
        <w:tc>
          <w:tcPr>
            <w:tcW w:w="426" w:type="dxa"/>
            <w:vMerge/>
            <w:vAlign w:val="center"/>
          </w:tcPr>
          <w:p w14:paraId="6173EA89"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2409" w:type="dxa"/>
            <w:gridSpan w:val="3"/>
            <w:vMerge/>
            <w:vAlign w:val="center"/>
          </w:tcPr>
          <w:p w14:paraId="36F9724C"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tcPr>
          <w:p w14:paraId="1AA2900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若本地块周边规划轨道站点，本地块开发预留与轨道站点附属设施结合条件，并符合轨道交通管理的相关规定。</w:t>
            </w:r>
          </w:p>
        </w:tc>
        <w:tc>
          <w:tcPr>
            <w:tcW w:w="786" w:type="dxa"/>
            <w:vAlign w:val="center"/>
          </w:tcPr>
          <w:p w14:paraId="697B00ED"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1949F9E9" w14:textId="77777777" w:rsidTr="008C7CA7">
        <w:trPr>
          <w:trHeight w:val="226"/>
          <w:jc w:val="center"/>
        </w:trPr>
        <w:tc>
          <w:tcPr>
            <w:tcW w:w="426" w:type="dxa"/>
            <w:vMerge/>
            <w:vAlign w:val="center"/>
          </w:tcPr>
          <w:p w14:paraId="4DA74961"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2409" w:type="dxa"/>
            <w:gridSpan w:val="3"/>
            <w:vMerge/>
            <w:vAlign w:val="center"/>
          </w:tcPr>
          <w:p w14:paraId="25B6F617"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tcPr>
          <w:p w14:paraId="770BA0C0"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套型建筑面积（含公摊）144平方米以下的</w:t>
            </w:r>
            <w:r>
              <w:rPr>
                <w:rFonts w:ascii="黑体" w:eastAsia="黑体" w:cs="黑体" w:hint="eastAsia"/>
                <w:color w:val="323232"/>
                <w:spacing w:val="2"/>
                <w:kern w:val="0"/>
                <w:sz w:val="18"/>
                <w:szCs w:val="18"/>
              </w:rPr>
              <w:t>住宅</w:t>
            </w:r>
            <w:r>
              <w:rPr>
                <w:rFonts w:ascii="黑体" w:eastAsia="黑体" w:cs="黑体" w:hint="eastAsia"/>
                <w:color w:val="323232"/>
                <w:spacing w:val="2"/>
                <w:kern w:val="0"/>
                <w:sz w:val="18"/>
                <w:szCs w:val="18"/>
                <w:lang w:val="zh-CN"/>
              </w:rPr>
              <w:t>，不得设计为跃层户型。</w:t>
            </w:r>
          </w:p>
        </w:tc>
        <w:tc>
          <w:tcPr>
            <w:tcW w:w="786" w:type="dxa"/>
            <w:vAlign w:val="center"/>
          </w:tcPr>
          <w:p w14:paraId="1422E222"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60B37532" w14:textId="77777777" w:rsidTr="008C7CA7">
        <w:trPr>
          <w:trHeight w:val="226"/>
          <w:jc w:val="center"/>
        </w:trPr>
        <w:tc>
          <w:tcPr>
            <w:tcW w:w="426" w:type="dxa"/>
            <w:vMerge/>
            <w:vAlign w:val="center"/>
          </w:tcPr>
          <w:p w14:paraId="46052507"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2409" w:type="dxa"/>
            <w:gridSpan w:val="3"/>
            <w:vMerge/>
            <w:vAlign w:val="center"/>
          </w:tcPr>
          <w:p w14:paraId="4E6A5F06"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tcPr>
          <w:p w14:paraId="61CC4F15"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本地块住宅套数不多于</w:t>
            </w:r>
            <w:r>
              <w:rPr>
                <w:rFonts w:ascii="黑体" w:eastAsia="黑体" w:cs="黑体"/>
                <w:color w:val="323232"/>
                <w:spacing w:val="2"/>
                <w:kern w:val="0"/>
                <w:sz w:val="18"/>
                <w:szCs w:val="18"/>
                <w:lang w:val="zh-CN"/>
              </w:rPr>
              <w:t>860</w:t>
            </w:r>
            <w:r>
              <w:rPr>
                <w:rFonts w:ascii="黑体" w:eastAsia="黑体" w:cs="黑体" w:hint="eastAsia"/>
                <w:color w:val="323232"/>
                <w:spacing w:val="2"/>
                <w:kern w:val="0"/>
                <w:sz w:val="18"/>
                <w:szCs w:val="18"/>
                <w:lang w:val="zh-CN"/>
              </w:rPr>
              <w:t>套。</w:t>
            </w:r>
          </w:p>
        </w:tc>
        <w:tc>
          <w:tcPr>
            <w:tcW w:w="786" w:type="dxa"/>
            <w:vAlign w:val="center"/>
          </w:tcPr>
          <w:p w14:paraId="7602B3AA"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79FDA72C" w14:textId="77777777" w:rsidTr="008C7CA7">
        <w:trPr>
          <w:trHeight w:val="830"/>
          <w:jc w:val="center"/>
        </w:trPr>
        <w:tc>
          <w:tcPr>
            <w:tcW w:w="426" w:type="dxa"/>
            <w:vMerge/>
            <w:vAlign w:val="center"/>
          </w:tcPr>
          <w:p w14:paraId="5FA3E37E" w14:textId="77777777" w:rsidR="008C7CA7" w:rsidRDefault="008C7CA7" w:rsidP="00CA555B">
            <w:pPr>
              <w:spacing w:line="240" w:lineRule="exact"/>
              <w:jc w:val="center"/>
              <w:rPr>
                <w:rFonts w:ascii="黑体" w:eastAsia="黑体" w:cs="黑体"/>
                <w:color w:val="323232"/>
                <w:spacing w:val="2"/>
                <w:kern w:val="0"/>
                <w:sz w:val="18"/>
                <w:szCs w:val="18"/>
                <w:lang w:val="zh-CN"/>
              </w:rPr>
            </w:pPr>
          </w:p>
        </w:tc>
        <w:tc>
          <w:tcPr>
            <w:tcW w:w="2409" w:type="dxa"/>
            <w:gridSpan w:val="3"/>
            <w:vMerge/>
            <w:vAlign w:val="center"/>
          </w:tcPr>
          <w:p w14:paraId="2D5B3AEE" w14:textId="77777777" w:rsidR="008C7CA7" w:rsidRDefault="008C7CA7" w:rsidP="00CA555B">
            <w:pPr>
              <w:spacing w:line="240" w:lineRule="exact"/>
              <w:rPr>
                <w:rFonts w:ascii="黑体" w:eastAsia="黑体" w:cs="黑体"/>
                <w:color w:val="323232"/>
                <w:spacing w:val="2"/>
                <w:kern w:val="0"/>
                <w:sz w:val="18"/>
                <w:szCs w:val="18"/>
                <w:lang w:val="zh-CN"/>
              </w:rPr>
            </w:pPr>
          </w:p>
        </w:tc>
        <w:tc>
          <w:tcPr>
            <w:tcW w:w="5387" w:type="dxa"/>
            <w:gridSpan w:val="2"/>
            <w:vAlign w:val="center"/>
          </w:tcPr>
          <w:p w14:paraId="1FF0945B" w14:textId="77777777" w:rsidR="008C7CA7" w:rsidRDefault="008C7CA7" w:rsidP="00CA555B">
            <w:pPr>
              <w:spacing w:line="240" w:lineRule="exac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本地块建筑应执行二星级的绿色建筑标准，即《绿色建筑评价标准》GB/T50378或《福建省绿色建筑评价标准》DBJ/T13-118，本地块建筑的规划、设计、施工、验收应执行上述标准；鼓励项目建设单位加强绿色建筑运行管理，推进绿色建筑运行工作、申办绿色建筑运行标识。</w:t>
            </w:r>
          </w:p>
        </w:tc>
        <w:tc>
          <w:tcPr>
            <w:tcW w:w="786" w:type="dxa"/>
            <w:vAlign w:val="center"/>
          </w:tcPr>
          <w:p w14:paraId="6B781D01" w14:textId="77777777" w:rsidR="008C7CA7" w:rsidRDefault="008C7CA7" w:rsidP="00CA555B">
            <w:pPr>
              <w:spacing w:line="240" w:lineRule="exact"/>
              <w:jc w:val="center"/>
              <w:rPr>
                <w:rFonts w:ascii="黑体" w:eastAsia="黑体" w:cs="黑体"/>
                <w:spacing w:val="2"/>
                <w:kern w:val="0"/>
                <w:sz w:val="18"/>
                <w:szCs w:val="18"/>
                <w:lang w:val="zh-CN"/>
              </w:rPr>
            </w:pPr>
            <w:r>
              <w:rPr>
                <w:rFonts w:ascii="黑体" w:eastAsia="黑体" w:cs="黑体" w:hint="eastAsia"/>
                <w:spacing w:val="2"/>
                <w:kern w:val="0"/>
                <w:sz w:val="18"/>
                <w:szCs w:val="18"/>
                <w:lang w:val="zh-CN"/>
              </w:rPr>
              <w:t>强制性</w:t>
            </w:r>
          </w:p>
        </w:tc>
      </w:tr>
      <w:tr w:rsidR="008C7CA7" w14:paraId="66B4247B" w14:textId="77777777" w:rsidTr="008C7CA7">
        <w:trPr>
          <w:trHeight w:val="416"/>
          <w:jc w:val="center"/>
        </w:trPr>
        <w:tc>
          <w:tcPr>
            <w:tcW w:w="426" w:type="dxa"/>
            <w:vMerge w:val="restart"/>
            <w:vAlign w:val="center"/>
          </w:tcPr>
          <w:p w14:paraId="13032DE9" w14:textId="77777777" w:rsidR="008C7CA7" w:rsidRDefault="008C7CA7" w:rsidP="00CA555B">
            <w:pPr>
              <w:spacing w:line="240" w:lineRule="exact"/>
              <w:jc w:val="righ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备注</w:t>
            </w:r>
          </w:p>
        </w:tc>
        <w:tc>
          <w:tcPr>
            <w:tcW w:w="8582" w:type="dxa"/>
            <w:gridSpan w:val="6"/>
            <w:vAlign w:val="center"/>
          </w:tcPr>
          <w:p w14:paraId="7C04FEE9" w14:textId="77777777" w:rsidR="008C7CA7" w:rsidRDefault="008C7CA7" w:rsidP="00CA555B">
            <w:pPr>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土地公开出让后，受让人（竞得人）不得以自身原因申请变更强制性规划条件。因国家政策调整、重大基础设施建设、公益性公共设施建设、生态环境保护和文物保护等需要，确需变更强制性条件的，应征得受让人同意后，按照相关程序执行。如受让人不同意调整，则按退地程序处理。</w:t>
            </w:r>
          </w:p>
        </w:tc>
      </w:tr>
      <w:tr w:rsidR="008C7CA7" w14:paraId="4913DA2A" w14:textId="77777777" w:rsidTr="008C7CA7">
        <w:trPr>
          <w:trHeight w:val="416"/>
          <w:jc w:val="center"/>
        </w:trPr>
        <w:tc>
          <w:tcPr>
            <w:tcW w:w="426" w:type="dxa"/>
            <w:vMerge/>
            <w:vAlign w:val="center"/>
          </w:tcPr>
          <w:p w14:paraId="27E87BFF" w14:textId="77777777" w:rsidR="008C7CA7" w:rsidRDefault="008C7CA7" w:rsidP="00CA555B">
            <w:pPr>
              <w:spacing w:line="240" w:lineRule="exact"/>
              <w:jc w:val="right"/>
              <w:rPr>
                <w:rFonts w:ascii="黑体" w:eastAsia="黑体" w:cs="黑体"/>
                <w:color w:val="323232"/>
                <w:spacing w:val="2"/>
                <w:kern w:val="0"/>
                <w:sz w:val="18"/>
                <w:szCs w:val="18"/>
                <w:lang w:val="zh-CN"/>
              </w:rPr>
            </w:pPr>
          </w:p>
        </w:tc>
        <w:tc>
          <w:tcPr>
            <w:tcW w:w="8582" w:type="dxa"/>
            <w:gridSpan w:val="6"/>
            <w:vAlign w:val="center"/>
          </w:tcPr>
          <w:p w14:paraId="1CE99C0A" w14:textId="77777777" w:rsidR="008C7CA7" w:rsidRDefault="008C7CA7" w:rsidP="00CA555B">
            <w:pPr>
              <w:spacing w:line="240" w:lineRule="exact"/>
              <w:jc w:val="left"/>
              <w:rPr>
                <w:rFonts w:ascii="黑体" w:eastAsia="黑体" w:cs="黑体"/>
                <w:color w:val="323232"/>
                <w:spacing w:val="2"/>
                <w:kern w:val="0"/>
                <w:sz w:val="18"/>
                <w:szCs w:val="18"/>
              </w:rPr>
            </w:pPr>
            <w:r>
              <w:rPr>
                <w:rFonts w:ascii="黑体" w:eastAsia="黑体" w:cs="黑体" w:hint="eastAsia"/>
                <w:color w:val="323232"/>
                <w:spacing w:val="2"/>
                <w:kern w:val="0"/>
                <w:sz w:val="18"/>
                <w:szCs w:val="18"/>
                <w:lang w:val="zh-CN"/>
              </w:rPr>
              <w:t>本项目工规证核发施行审批制</w:t>
            </w:r>
            <w:r>
              <w:rPr>
                <w:rFonts w:ascii="黑体" w:eastAsia="黑体" w:cs="黑体" w:hint="eastAsia"/>
                <w:color w:val="323232"/>
                <w:spacing w:val="2"/>
                <w:kern w:val="0"/>
                <w:sz w:val="18"/>
                <w:szCs w:val="18"/>
              </w:rPr>
              <w:t>.</w:t>
            </w:r>
          </w:p>
        </w:tc>
      </w:tr>
      <w:tr w:rsidR="008C7CA7" w14:paraId="2445C9C4" w14:textId="77777777" w:rsidTr="008C7CA7">
        <w:trPr>
          <w:trHeight w:val="416"/>
          <w:jc w:val="center"/>
        </w:trPr>
        <w:tc>
          <w:tcPr>
            <w:tcW w:w="426" w:type="dxa"/>
            <w:vMerge/>
            <w:vAlign w:val="center"/>
          </w:tcPr>
          <w:p w14:paraId="19A54F62" w14:textId="77777777" w:rsidR="008C7CA7" w:rsidRDefault="008C7CA7" w:rsidP="00CA555B">
            <w:pPr>
              <w:spacing w:line="240" w:lineRule="exact"/>
              <w:jc w:val="right"/>
              <w:rPr>
                <w:rFonts w:ascii="黑体" w:eastAsia="黑体" w:cs="黑体"/>
                <w:color w:val="323232"/>
                <w:spacing w:val="2"/>
                <w:kern w:val="0"/>
                <w:sz w:val="18"/>
                <w:szCs w:val="18"/>
                <w:lang w:val="zh-CN"/>
              </w:rPr>
            </w:pPr>
          </w:p>
        </w:tc>
        <w:tc>
          <w:tcPr>
            <w:tcW w:w="8582" w:type="dxa"/>
            <w:gridSpan w:val="6"/>
            <w:vAlign w:val="center"/>
          </w:tcPr>
          <w:p w14:paraId="75E31912" w14:textId="77777777" w:rsidR="008C7CA7" w:rsidRDefault="008C7CA7" w:rsidP="00CA555B">
            <w:pPr>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本图则内路名为规划路名，最终路名以厦门市地名办批准路名为准。</w:t>
            </w:r>
          </w:p>
        </w:tc>
      </w:tr>
      <w:tr w:rsidR="008C7CA7" w14:paraId="4EC9DB91" w14:textId="77777777" w:rsidTr="008C7CA7">
        <w:trPr>
          <w:trHeight w:val="416"/>
          <w:jc w:val="center"/>
        </w:trPr>
        <w:tc>
          <w:tcPr>
            <w:tcW w:w="426" w:type="dxa"/>
            <w:vMerge/>
            <w:vAlign w:val="center"/>
          </w:tcPr>
          <w:p w14:paraId="245A325B" w14:textId="77777777" w:rsidR="008C7CA7" w:rsidRDefault="008C7CA7" w:rsidP="00CA555B">
            <w:pPr>
              <w:spacing w:line="240" w:lineRule="exact"/>
              <w:jc w:val="right"/>
              <w:rPr>
                <w:rFonts w:ascii="黑体" w:eastAsia="黑体" w:cs="黑体"/>
                <w:color w:val="323232"/>
                <w:spacing w:val="2"/>
                <w:kern w:val="0"/>
                <w:sz w:val="18"/>
                <w:szCs w:val="18"/>
                <w:lang w:val="zh-CN"/>
              </w:rPr>
            </w:pPr>
          </w:p>
        </w:tc>
        <w:tc>
          <w:tcPr>
            <w:tcW w:w="8582" w:type="dxa"/>
            <w:gridSpan w:val="6"/>
            <w:vAlign w:val="center"/>
          </w:tcPr>
          <w:p w14:paraId="334A91D8" w14:textId="77777777" w:rsidR="008C7CA7" w:rsidRDefault="008C7CA7" w:rsidP="00CA555B">
            <w:pPr>
              <w:spacing w:line="240" w:lineRule="exact"/>
              <w:jc w:val="lef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本规划设计要求中未涉及的规划控制要求按《厦门市城乡规划管理技术规定》（2016年版）及其他相关规范、补充规定执行。</w:t>
            </w:r>
          </w:p>
        </w:tc>
      </w:tr>
    </w:tbl>
    <w:p w14:paraId="30F92A2F" w14:textId="77777777" w:rsidR="00BE4FFC" w:rsidRPr="008C7CA7" w:rsidRDefault="00BE4FFC"/>
    <w:sectPr w:rsidR="00BE4FFC" w:rsidRPr="008C7CA7" w:rsidSect="00BE4FF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08E1" w14:textId="77777777" w:rsidR="008C7CA7" w:rsidRDefault="008C7CA7" w:rsidP="008C7CA7">
      <w:r>
        <w:separator/>
      </w:r>
    </w:p>
  </w:endnote>
  <w:endnote w:type="continuationSeparator" w:id="0">
    <w:p w14:paraId="3EC8F18A" w14:textId="77777777" w:rsidR="008C7CA7" w:rsidRDefault="008C7CA7" w:rsidP="008C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6105" w14:textId="77777777" w:rsidR="00772DC7" w:rsidRDefault="00772D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D260" w14:textId="77777777" w:rsidR="00772DC7" w:rsidRDefault="00772D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A84F" w14:textId="77777777" w:rsidR="00772DC7" w:rsidRDefault="00772D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251D" w14:textId="77777777" w:rsidR="008C7CA7" w:rsidRDefault="008C7CA7" w:rsidP="008C7CA7">
      <w:r>
        <w:separator/>
      </w:r>
    </w:p>
  </w:footnote>
  <w:footnote w:type="continuationSeparator" w:id="0">
    <w:p w14:paraId="0A1DEF3A" w14:textId="77777777" w:rsidR="008C7CA7" w:rsidRDefault="008C7CA7" w:rsidP="008C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F638" w14:textId="77777777" w:rsidR="00772DC7" w:rsidRDefault="00772DC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B568" w14:textId="77777777" w:rsidR="00772DC7" w:rsidRPr="00772DC7" w:rsidRDefault="00772DC7">
    <w:pPr>
      <w:pStyle w:val="a3"/>
      <w:rPr>
        <w:rFonts w:asciiTheme="minorEastAsia" w:hAnsiTheme="minorEastAsia"/>
        <w:b/>
        <w:sz w:val="28"/>
        <w:szCs w:val="28"/>
      </w:rPr>
    </w:pPr>
    <w:r>
      <w:ptab w:relativeTo="margin" w:alignment="center" w:leader="none"/>
    </w:r>
    <w:r>
      <w:ptab w:relativeTo="margin" w:alignment="right" w:leader="none"/>
    </w:r>
    <w:r w:rsidRPr="00772DC7">
      <w:rPr>
        <w:rFonts w:asciiTheme="minorEastAsia" w:hAnsiTheme="minorEastAsia" w:hint="eastAsia"/>
        <w:b/>
        <w:sz w:val="28"/>
        <w:szCs w:val="28"/>
      </w:rPr>
      <w:t>拍卖文件4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889A" w14:textId="77777777" w:rsidR="00772DC7" w:rsidRDefault="00772D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formatting="1" w:enforcement="1" w:cryptProviderType="rsaAES" w:cryptAlgorithmClass="hash" w:cryptAlgorithmType="typeAny" w:cryptAlgorithmSid="14" w:cryptSpinCount="100000" w:hash="QHtEiLIkaIwmv83/EP2mKQfsgSItLX3vmmDNVXbXlA09IbH5mSFttDYgquU+ZItgD6Y+LEDU1Kpzvwv5/J/tFQ==" w:salt="QE1wexrGkEmPg0ZQHz0Wuw=="/>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C7CA7"/>
    <w:rsid w:val="00263674"/>
    <w:rsid w:val="00772DC7"/>
    <w:rsid w:val="008C7CA7"/>
    <w:rsid w:val="008D592D"/>
    <w:rsid w:val="00BE4FFC"/>
    <w:rsid w:val="00D2440E"/>
    <w:rsid w:val="00EE2228"/>
    <w:rsid w:val="00FA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F59E25"/>
  <w15:docId w15:val="{46382CE9-9372-46EF-AC4D-B0B7093C6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CA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C7C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8C7CA7"/>
    <w:rPr>
      <w:sz w:val="18"/>
      <w:szCs w:val="18"/>
    </w:rPr>
  </w:style>
  <w:style w:type="paragraph" w:styleId="a5">
    <w:name w:val="footer"/>
    <w:basedOn w:val="a"/>
    <w:link w:val="a6"/>
    <w:uiPriority w:val="99"/>
    <w:semiHidden/>
    <w:unhideWhenUsed/>
    <w:rsid w:val="008C7C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8C7CA7"/>
    <w:rPr>
      <w:sz w:val="18"/>
      <w:szCs w:val="18"/>
    </w:rPr>
  </w:style>
  <w:style w:type="paragraph" w:styleId="a7">
    <w:name w:val="Balloon Text"/>
    <w:basedOn w:val="a"/>
    <w:link w:val="a8"/>
    <w:uiPriority w:val="99"/>
    <w:semiHidden/>
    <w:unhideWhenUsed/>
    <w:rsid w:val="00772DC7"/>
    <w:rPr>
      <w:sz w:val="18"/>
      <w:szCs w:val="18"/>
    </w:rPr>
  </w:style>
  <w:style w:type="character" w:customStyle="1" w:styleId="a8">
    <w:name w:val="批注框文本 字符"/>
    <w:basedOn w:val="a0"/>
    <w:link w:val="a7"/>
    <w:uiPriority w:val="99"/>
    <w:semiHidden/>
    <w:rsid w:val="00772DC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2011</Characters>
  <Application>Microsoft Office Word</Application>
  <DocSecurity>8</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李嘉佳</dc:creator>
  <cp:keywords/>
  <dc:description/>
  <cp:lastModifiedBy>杨斐雄</cp:lastModifiedBy>
  <cp:revision>6</cp:revision>
  <dcterms:created xsi:type="dcterms:W3CDTF">2021-05-18T13:12:00Z</dcterms:created>
  <dcterms:modified xsi:type="dcterms:W3CDTF">2021-05-21T07:29:00Z</dcterms:modified>
</cp:coreProperties>
</file>