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C2B" w:rsidRPr="008A3A5E" w:rsidRDefault="00826C2B" w:rsidP="00826C2B">
      <w:pPr>
        <w:jc w:val="center"/>
        <w:rPr>
          <w:rFonts w:ascii="宋体" w:hAnsi="宋体"/>
          <w:sz w:val="32"/>
          <w:szCs w:val="32"/>
        </w:rPr>
      </w:pPr>
      <w:bookmarkStart w:id="0" w:name="_GoBack"/>
      <w:bookmarkEnd w:id="0"/>
      <w:r>
        <w:rPr>
          <w:rFonts w:ascii="宋体" w:hAnsi="宋体"/>
          <w:sz w:val="32"/>
          <w:szCs w:val="32"/>
        </w:rPr>
        <w:t>2019TG04-G</w:t>
      </w:r>
      <w:r w:rsidRPr="007A5FD0">
        <w:rPr>
          <w:rFonts w:ascii="宋体" w:hAnsi="宋体" w:hint="eastAsia"/>
          <w:sz w:val="32"/>
          <w:szCs w:val="32"/>
        </w:rPr>
        <w:t>地块规划设计条件</w:t>
      </w: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
        <w:gridCol w:w="706"/>
        <w:gridCol w:w="1273"/>
        <w:gridCol w:w="1137"/>
        <w:gridCol w:w="4683"/>
        <w:gridCol w:w="984"/>
      </w:tblGrid>
      <w:tr w:rsidR="00826C2B" w:rsidRPr="008A3A5E" w:rsidTr="00826C2B">
        <w:trPr>
          <w:trHeight w:val="20"/>
        </w:trPr>
        <w:tc>
          <w:tcPr>
            <w:tcW w:w="2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hAnsi="宋体"/>
                <w:b/>
                <w:bCs/>
                <w:spacing w:val="2"/>
                <w:kern w:val="0"/>
                <w:szCs w:val="21"/>
              </w:rPr>
            </w:pPr>
            <w:r w:rsidRPr="008A3A5E">
              <w:rPr>
                <w:rFonts w:ascii="黑体" w:eastAsia="黑体" w:cs="黑体" w:hint="eastAsia"/>
                <w:b/>
                <w:bCs/>
                <w:color w:val="323232"/>
                <w:spacing w:val="2"/>
                <w:kern w:val="0"/>
                <w:szCs w:val="21"/>
                <w:lang w:val="zh-CN"/>
              </w:rPr>
              <w:t>序号</w:t>
            </w:r>
          </w:p>
        </w:tc>
        <w:tc>
          <w:tcPr>
            <w:tcW w:w="1691" w:type="pct"/>
            <w:gridSpan w:val="3"/>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b/>
                <w:bCs/>
                <w:spacing w:val="2"/>
                <w:kern w:val="0"/>
                <w:szCs w:val="21"/>
              </w:rPr>
            </w:pPr>
            <w:r w:rsidRPr="008A3A5E">
              <w:rPr>
                <w:rFonts w:ascii="黑体" w:eastAsia="黑体" w:cs="黑体" w:hint="eastAsia"/>
                <w:b/>
                <w:bCs/>
                <w:color w:val="323232"/>
                <w:spacing w:val="2"/>
                <w:kern w:val="0"/>
                <w:szCs w:val="21"/>
                <w:lang w:val="zh-CN"/>
              </w:rPr>
              <w:t>同安12-07片区迎宾大道与布塘中路交叉口西南侧地块</w:t>
            </w: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b/>
                <w:bCs/>
                <w:color w:val="000000"/>
                <w:spacing w:val="2"/>
                <w:kern w:val="0"/>
                <w:szCs w:val="21"/>
              </w:rPr>
            </w:pPr>
            <w:r w:rsidRPr="008A3A5E">
              <w:rPr>
                <w:rFonts w:ascii="黑体" w:eastAsia="黑体" w:cs="黑体" w:hint="eastAsia"/>
                <w:b/>
                <w:bCs/>
                <w:color w:val="000000"/>
                <w:spacing w:val="2"/>
                <w:kern w:val="0"/>
                <w:szCs w:val="21"/>
                <w:lang w:val="zh-CN"/>
              </w:rPr>
              <w:t>规划设计要求</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b/>
                <w:bCs/>
                <w:spacing w:val="2"/>
                <w:kern w:val="0"/>
                <w:szCs w:val="21"/>
              </w:rPr>
            </w:pPr>
            <w:r w:rsidRPr="008A3A5E">
              <w:rPr>
                <w:rFonts w:ascii="黑体" w:eastAsia="黑体" w:cs="黑体" w:hint="eastAsia"/>
                <w:b/>
                <w:bCs/>
                <w:color w:val="323232"/>
                <w:spacing w:val="2"/>
                <w:kern w:val="0"/>
                <w:szCs w:val="21"/>
                <w:lang w:val="zh-CN"/>
              </w:rPr>
              <w:t>备注</w:t>
            </w:r>
          </w:p>
        </w:tc>
      </w:tr>
      <w:tr w:rsidR="00826C2B" w:rsidRPr="008A3A5E" w:rsidTr="00826C2B">
        <w:trPr>
          <w:cantSplit/>
          <w:trHeight w:val="20"/>
        </w:trPr>
        <w:tc>
          <w:tcPr>
            <w:tcW w:w="2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1</w:t>
            </w:r>
          </w:p>
        </w:tc>
        <w:tc>
          <w:tcPr>
            <w:tcW w:w="1691" w:type="pct"/>
            <w:gridSpan w:val="3"/>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用地位置</w:t>
            </w: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详见宗地平面界址图</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2</w:t>
            </w:r>
          </w:p>
        </w:tc>
        <w:tc>
          <w:tcPr>
            <w:tcW w:w="1691" w:type="pct"/>
            <w:gridSpan w:val="3"/>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用地性质</w:t>
            </w: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工业用地</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val="restar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3</w:t>
            </w:r>
          </w:p>
        </w:tc>
        <w:tc>
          <w:tcPr>
            <w:tcW w:w="1691" w:type="pct"/>
            <w:gridSpan w:val="3"/>
            <w:vMerge w:val="restar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用地面积</w:t>
            </w: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 xml:space="preserve">19035.809平方米                                 </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1691" w:type="pct"/>
            <w:gridSpan w:val="3"/>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生产服务设施用地面积不得超过项目总用地面积的7%。</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FF0000"/>
                <w:spacing w:val="2"/>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val="restar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4</w:t>
            </w:r>
          </w:p>
        </w:tc>
        <w:tc>
          <w:tcPr>
            <w:tcW w:w="383" w:type="pct"/>
            <w:vMerge w:val="restar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建筑面积</w:t>
            </w:r>
          </w:p>
        </w:tc>
        <w:tc>
          <w:tcPr>
            <w:tcW w:w="1308" w:type="pct"/>
            <w:gridSpan w:val="2"/>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总建筑面积（计容上限）</w:t>
            </w: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rPr>
              <w:t>57000平方米</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p>
        </w:tc>
        <w:tc>
          <w:tcPr>
            <w:tcW w:w="1308" w:type="pct"/>
            <w:gridSpan w:val="2"/>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总建筑面积（计容下限）</w:t>
            </w: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CF5C66">
              <w:rPr>
                <w:rFonts w:ascii="黑体" w:eastAsia="黑体" w:cs="黑体" w:hint="eastAsia"/>
                <w:spacing w:val="-4"/>
                <w:w w:val="90"/>
                <w:kern w:val="0"/>
                <w:szCs w:val="21"/>
              </w:rPr>
              <w:t>38070</w:t>
            </w:r>
            <w:r w:rsidRPr="008A3A5E">
              <w:rPr>
                <w:rFonts w:ascii="黑体" w:eastAsia="黑体" w:cs="黑体" w:hint="eastAsia"/>
                <w:spacing w:val="-4"/>
                <w:w w:val="90"/>
                <w:kern w:val="0"/>
                <w:szCs w:val="21"/>
                <w:lang w:val="zh-CN"/>
              </w:rPr>
              <w:t>平方米</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FF0000"/>
                <w:spacing w:val="2"/>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1308" w:type="pct"/>
            <w:gridSpan w:val="2"/>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不同性质建筑占总建筑面积</w:t>
            </w: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行政办公及生活服务等生产服务设施用房建筑面积不得超过总建筑面积的20 %</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5</w:t>
            </w:r>
          </w:p>
        </w:tc>
        <w:tc>
          <w:tcPr>
            <w:tcW w:w="1691" w:type="pct"/>
            <w:gridSpan w:val="3"/>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建筑系数（下限）</w:t>
            </w: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40%</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6</w:t>
            </w:r>
          </w:p>
        </w:tc>
        <w:tc>
          <w:tcPr>
            <w:tcW w:w="1691" w:type="pct"/>
            <w:gridSpan w:val="3"/>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绿地率（上限）</w:t>
            </w: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rPr>
              <w:t>15</w:t>
            </w:r>
            <w:r w:rsidRPr="008A3A5E">
              <w:rPr>
                <w:rFonts w:ascii="黑体" w:eastAsia="黑体" w:cs="黑体" w:hint="eastAsia"/>
                <w:spacing w:val="-4"/>
                <w:w w:val="90"/>
                <w:kern w:val="0"/>
                <w:szCs w:val="21"/>
                <w:lang w:val="zh-CN"/>
              </w:rPr>
              <w:t>%</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val="restar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7</w:t>
            </w:r>
          </w:p>
        </w:tc>
        <w:tc>
          <w:tcPr>
            <w:tcW w:w="383" w:type="pct"/>
            <w:vMerge w:val="restar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市政规划要求</w:t>
            </w:r>
          </w:p>
        </w:tc>
        <w:tc>
          <w:tcPr>
            <w:tcW w:w="1308" w:type="pct"/>
            <w:gridSpan w:val="2"/>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市政配套设施</w:t>
            </w: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w:t>
            </w:r>
          </w:p>
        </w:tc>
      </w:tr>
      <w:tr w:rsidR="00826C2B" w:rsidRPr="008A3A5E" w:rsidTr="00826C2B">
        <w:trPr>
          <w:cantSplit/>
          <w:trHeight w:val="20"/>
        </w:trPr>
        <w:tc>
          <w:tcPr>
            <w:tcW w:w="234"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1308" w:type="pct"/>
            <w:gridSpan w:val="2"/>
            <w:vMerge w:val="restart"/>
            <w:tcBorders>
              <w:top w:val="single" w:sz="4" w:space="0" w:color="auto"/>
              <w:left w:val="single" w:sz="4" w:space="0" w:color="auto"/>
              <w:right w:val="single" w:sz="4" w:space="0" w:color="auto"/>
            </w:tcBorders>
            <w:vAlign w:val="center"/>
          </w:tcPr>
          <w:p w:rsidR="00826C2B" w:rsidRPr="008A3A5E" w:rsidRDefault="00826C2B" w:rsidP="005D7175">
            <w:pPr>
              <w:jc w:val="center"/>
              <w:rPr>
                <w:rFonts w:ascii="黑体" w:eastAsia="黑体" w:cs="黑体"/>
                <w:spacing w:val="2"/>
                <w:kern w:val="0"/>
                <w:szCs w:val="21"/>
                <w:lang w:val="zh-CN"/>
              </w:rPr>
            </w:pPr>
            <w:r w:rsidRPr="008A3A5E">
              <w:rPr>
                <w:rFonts w:ascii="黑体" w:eastAsia="黑体" w:cs="黑体" w:hint="eastAsia"/>
                <w:spacing w:val="2"/>
                <w:kern w:val="0"/>
                <w:szCs w:val="21"/>
                <w:lang w:val="zh-CN"/>
              </w:rPr>
              <w:t>基地主要机动车出入口</w:t>
            </w: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基地主要机动车出入口不得设置在东侧迎宾大道上。</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1308" w:type="pct"/>
            <w:gridSpan w:val="2"/>
            <w:vMerge/>
            <w:tcBorders>
              <w:left w:val="single" w:sz="4" w:space="0" w:color="auto"/>
              <w:right w:val="single" w:sz="4" w:space="0" w:color="auto"/>
            </w:tcBorders>
          </w:tcPr>
          <w:p w:rsidR="00826C2B" w:rsidRPr="008A3A5E" w:rsidRDefault="00826C2B" w:rsidP="005D7175">
            <w:pPr>
              <w:rPr>
                <w:rFonts w:ascii="黑体" w:eastAsia="黑体" w:cs="黑体"/>
                <w:spacing w:val="2"/>
                <w:kern w:val="0"/>
                <w:szCs w:val="21"/>
                <w:lang w:val="zh-CN"/>
              </w:rPr>
            </w:pP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地下车库出入口起坡点紧临城市道路的必须设置在建筑基底线范围内。</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FF0000"/>
                <w:spacing w:val="2"/>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1308" w:type="pct"/>
            <w:gridSpan w:val="2"/>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停车配建标准</w:t>
            </w: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符合《厦门市建设项目停车设施配建标准》（厦府【2015】322号）文要求。</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spacing w:line="300" w:lineRule="exact"/>
              <w:jc w:val="center"/>
              <w:rPr>
                <w:rFonts w:ascii="黑体" w:eastAsia="黑体" w:cs="黑体"/>
                <w:color w:val="FF0000"/>
                <w:spacing w:val="2"/>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691" w:type="pct"/>
            <w:vMerge w:val="restar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spacing w:val="2"/>
                <w:kern w:val="0"/>
                <w:szCs w:val="21"/>
                <w:lang w:val="zh-CN"/>
              </w:rPr>
            </w:pPr>
            <w:r w:rsidRPr="008A3A5E">
              <w:rPr>
                <w:rFonts w:ascii="黑体" w:eastAsia="黑体" w:cs="黑体" w:hint="eastAsia"/>
                <w:spacing w:val="2"/>
                <w:kern w:val="0"/>
                <w:szCs w:val="21"/>
                <w:lang w:val="zh-CN"/>
              </w:rPr>
              <w:t>城市生态环境要求</w:t>
            </w:r>
          </w:p>
        </w:tc>
        <w:tc>
          <w:tcPr>
            <w:tcW w:w="617"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总体</w:t>
            </w:r>
            <w:r w:rsidRPr="008A3A5E">
              <w:rPr>
                <w:rFonts w:ascii="黑体" w:eastAsia="黑体" w:cs="黑体"/>
                <w:spacing w:val="2"/>
                <w:kern w:val="0"/>
                <w:szCs w:val="21"/>
                <w:lang w:val="zh-CN"/>
              </w:rPr>
              <w:t>要求</w:t>
            </w: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rPr>
            </w:pPr>
            <w:r w:rsidRPr="008A3A5E">
              <w:rPr>
                <w:rFonts w:ascii="黑体" w:eastAsia="黑体" w:cs="黑体" w:hint="eastAsia"/>
                <w:spacing w:val="-4"/>
                <w:w w:val="90"/>
                <w:kern w:val="0"/>
                <w:szCs w:val="21"/>
              </w:rPr>
              <w:t>符合《海绵城市建设技术指南》（试行）、《福建省城镇排水系统规划导则》（试行）和《厦门市海绵城市建设技术规范》（试行）。</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2"/>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691" w:type="pct"/>
            <w:vMerge/>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617"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left"/>
              <w:rPr>
                <w:rFonts w:ascii="黑体" w:eastAsia="黑体" w:cs="黑体"/>
                <w:spacing w:val="2"/>
                <w:kern w:val="0"/>
                <w:szCs w:val="21"/>
                <w:lang w:val="zh-CN"/>
              </w:rPr>
            </w:pPr>
            <w:r w:rsidRPr="008A3A5E">
              <w:rPr>
                <w:rFonts w:ascii="黑体" w:eastAsia="黑体" w:cs="黑体" w:hint="eastAsia"/>
                <w:spacing w:val="2"/>
                <w:kern w:val="0"/>
                <w:szCs w:val="21"/>
                <w:lang w:val="zh-CN"/>
              </w:rPr>
              <w:t>生态指标</w:t>
            </w: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地块年径流总量控制率不小于</w:t>
            </w:r>
            <w:r w:rsidRPr="008A3A5E">
              <w:rPr>
                <w:rFonts w:ascii="黑体" w:eastAsia="黑体" w:cs="黑体" w:hint="eastAsia"/>
                <w:spacing w:val="-4"/>
                <w:w w:val="90"/>
                <w:kern w:val="0"/>
                <w:szCs w:val="21"/>
              </w:rPr>
              <w:t>60</w:t>
            </w:r>
            <w:r w:rsidRPr="008A3A5E">
              <w:rPr>
                <w:rFonts w:ascii="黑体" w:eastAsia="黑体" w:cs="黑体" w:hint="eastAsia"/>
                <w:spacing w:val="-4"/>
                <w:w w:val="90"/>
                <w:kern w:val="0"/>
                <w:szCs w:val="21"/>
                <w:lang w:val="zh-CN"/>
              </w:rPr>
              <w:t>%。</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olor w:val="FF0000"/>
                <w:spacing w:val="-4"/>
                <w:w w:val="90"/>
                <w:kern w:val="0"/>
                <w:szCs w:val="21"/>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val="restart"/>
            <w:tcBorders>
              <w:top w:val="single" w:sz="4" w:space="0" w:color="auto"/>
              <w:left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8</w:t>
            </w:r>
          </w:p>
        </w:tc>
        <w:tc>
          <w:tcPr>
            <w:tcW w:w="383" w:type="pct"/>
            <w:vMerge w:val="restart"/>
            <w:tcBorders>
              <w:top w:val="single" w:sz="4" w:space="0" w:color="auto"/>
              <w:left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城市设计要求</w:t>
            </w:r>
          </w:p>
        </w:tc>
        <w:tc>
          <w:tcPr>
            <w:tcW w:w="1308" w:type="pct"/>
            <w:gridSpan w:val="2"/>
            <w:tcBorders>
              <w:top w:val="single" w:sz="4" w:space="0" w:color="auto"/>
              <w:left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层高与层数</w:t>
            </w:r>
          </w:p>
        </w:tc>
        <w:tc>
          <w:tcPr>
            <w:tcW w:w="2541" w:type="pct"/>
            <w:tcBorders>
              <w:top w:val="single" w:sz="4" w:space="0" w:color="auto"/>
              <w:left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 xml:space="preserve">建筑层数要求符合厦府[2014]271号文。 </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FF0000"/>
                <w:spacing w:val="2"/>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383" w:type="pct"/>
            <w:vMerge/>
            <w:tcBorders>
              <w:left w:val="single" w:sz="4" w:space="0" w:color="auto"/>
              <w:bottom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2"/>
                <w:kern w:val="0"/>
                <w:szCs w:val="21"/>
                <w:lang w:val="zh-CN"/>
              </w:rPr>
            </w:pPr>
          </w:p>
        </w:tc>
        <w:tc>
          <w:tcPr>
            <w:tcW w:w="1308" w:type="pct"/>
            <w:gridSpan w:val="2"/>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2"/>
                <w:kern w:val="0"/>
                <w:szCs w:val="21"/>
                <w:lang w:val="zh-CN"/>
              </w:rPr>
            </w:pPr>
            <w:r w:rsidRPr="008A3A5E">
              <w:rPr>
                <w:rFonts w:ascii="黑体" w:eastAsia="黑体" w:cs="黑体" w:hint="eastAsia"/>
                <w:spacing w:val="2"/>
                <w:kern w:val="0"/>
                <w:szCs w:val="21"/>
                <w:lang w:val="zh-CN"/>
              </w:rPr>
              <w:t>建筑色彩</w:t>
            </w: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widowControl/>
              <w:jc w:val="left"/>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工业建筑墙面、屋顶色彩应以白、浅灰为主。不得大面积使用饱和度、明度较高的颜色。</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FF0000"/>
                <w:spacing w:val="2"/>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val="restart"/>
            <w:tcBorders>
              <w:top w:val="single" w:sz="4" w:space="0" w:color="auto"/>
              <w:left w:val="single" w:sz="4" w:space="0" w:color="auto"/>
              <w:right w:val="single" w:sz="4" w:space="0" w:color="auto"/>
            </w:tcBorders>
            <w:vAlign w:val="center"/>
          </w:tcPr>
          <w:p w:rsidR="00826C2B" w:rsidRPr="008A3A5E" w:rsidRDefault="00826C2B" w:rsidP="005D7175">
            <w:pPr>
              <w:jc w:val="center"/>
              <w:rPr>
                <w:rFonts w:ascii="黑体" w:eastAsia="黑体"/>
                <w:spacing w:val="2"/>
                <w:kern w:val="0"/>
                <w:szCs w:val="21"/>
              </w:rPr>
            </w:pPr>
            <w:r w:rsidRPr="008A3A5E">
              <w:rPr>
                <w:rFonts w:ascii="黑体" w:eastAsia="黑体" w:hint="eastAsia"/>
                <w:spacing w:val="2"/>
                <w:kern w:val="0"/>
                <w:szCs w:val="21"/>
              </w:rPr>
              <w:t>9</w:t>
            </w:r>
          </w:p>
        </w:tc>
        <w:tc>
          <w:tcPr>
            <w:tcW w:w="1691" w:type="pct"/>
            <w:gridSpan w:val="3"/>
            <w:vMerge w:val="restart"/>
            <w:tcBorders>
              <w:top w:val="single" w:sz="4" w:space="0" w:color="auto"/>
              <w:left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2"/>
                <w:kern w:val="0"/>
                <w:szCs w:val="21"/>
                <w:lang w:val="zh-CN"/>
              </w:rPr>
              <w:t>其它要求</w:t>
            </w:r>
          </w:p>
        </w:tc>
        <w:tc>
          <w:tcPr>
            <w:tcW w:w="2541"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严禁在工业项目用地范围内建造成套住宅、酒楼和宾馆等非生产性配套设施，不得建造商品房进行出售、出租。</w:t>
            </w:r>
          </w:p>
        </w:tc>
        <w:tc>
          <w:tcPr>
            <w:tcW w:w="534" w:type="pct"/>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FF0000"/>
                <w:spacing w:val="2"/>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left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1691" w:type="pct"/>
            <w:gridSpan w:val="3"/>
            <w:vMerge/>
            <w:tcBorders>
              <w:left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4"/>
                <w:w w:val="90"/>
                <w:kern w:val="0"/>
                <w:szCs w:val="21"/>
                <w:lang w:val="zh-CN"/>
              </w:rPr>
            </w:pP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若本地块周边规划轨道线路，规划轨道安全保护区范围内的建设需征得地铁办的意见。</w:t>
            </w:r>
          </w:p>
        </w:tc>
        <w:tc>
          <w:tcPr>
            <w:tcW w:w="534"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jc w:val="center"/>
              <w:rPr>
                <w:rFonts w:ascii="黑体" w:eastAsia="黑体" w:cs="黑体"/>
                <w:color w:val="FF0000"/>
                <w:spacing w:val="-4"/>
                <w:w w:val="90"/>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tcBorders>
              <w:left w:val="single" w:sz="4" w:space="0" w:color="auto"/>
              <w:right w:val="single" w:sz="4" w:space="0" w:color="auto"/>
            </w:tcBorders>
            <w:vAlign w:val="center"/>
          </w:tcPr>
          <w:p w:rsidR="00826C2B" w:rsidRPr="008A3A5E" w:rsidRDefault="00826C2B" w:rsidP="005D7175">
            <w:pPr>
              <w:widowControl/>
              <w:jc w:val="left"/>
              <w:rPr>
                <w:rFonts w:ascii="黑体" w:eastAsia="黑体"/>
                <w:spacing w:val="2"/>
                <w:kern w:val="0"/>
                <w:szCs w:val="21"/>
              </w:rPr>
            </w:pPr>
          </w:p>
        </w:tc>
        <w:tc>
          <w:tcPr>
            <w:tcW w:w="1691" w:type="pct"/>
            <w:gridSpan w:val="3"/>
            <w:vMerge/>
            <w:tcBorders>
              <w:left w:val="single" w:sz="4" w:space="0" w:color="auto"/>
              <w:right w:val="single" w:sz="4" w:space="0" w:color="auto"/>
            </w:tcBorders>
            <w:vAlign w:val="center"/>
          </w:tcPr>
          <w:p w:rsidR="00826C2B" w:rsidRPr="008A3A5E" w:rsidRDefault="00826C2B" w:rsidP="005D7175">
            <w:pPr>
              <w:widowControl/>
              <w:jc w:val="left"/>
              <w:rPr>
                <w:rFonts w:ascii="黑体" w:eastAsia="黑体" w:cs="黑体"/>
                <w:spacing w:val="-4"/>
                <w:w w:val="90"/>
                <w:kern w:val="0"/>
                <w:szCs w:val="21"/>
                <w:lang w:val="zh-CN"/>
              </w:rPr>
            </w:pPr>
          </w:p>
        </w:tc>
        <w:tc>
          <w:tcPr>
            <w:tcW w:w="2541"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rPr>
                <w:rFonts w:ascii="黑体" w:eastAsia="黑体" w:cs="黑体"/>
                <w:spacing w:val="-4"/>
                <w:w w:val="90"/>
                <w:kern w:val="0"/>
                <w:szCs w:val="21"/>
                <w:lang w:val="zh-CN"/>
              </w:rPr>
            </w:pPr>
            <w:r w:rsidRPr="008A3A5E">
              <w:rPr>
                <w:rFonts w:ascii="黑体" w:eastAsia="黑体" w:cs="黑体" w:hint="eastAsia"/>
                <w:spacing w:val="-4"/>
                <w:w w:val="90"/>
                <w:kern w:val="0"/>
                <w:szCs w:val="21"/>
                <w:lang w:val="zh-CN"/>
              </w:rPr>
              <w:t>若本地块周边规划轨道站点，本地块开发预留与轨道站点附属设施结合条件，并符合轨道交通管理的相关规定。</w:t>
            </w:r>
          </w:p>
        </w:tc>
        <w:tc>
          <w:tcPr>
            <w:tcW w:w="534" w:type="pct"/>
            <w:tcBorders>
              <w:top w:val="single" w:sz="4" w:space="0" w:color="auto"/>
              <w:left w:val="single" w:sz="4" w:space="0" w:color="auto"/>
              <w:bottom w:val="single" w:sz="4" w:space="0" w:color="auto"/>
              <w:right w:val="single" w:sz="4" w:space="0" w:color="auto"/>
            </w:tcBorders>
          </w:tcPr>
          <w:p w:rsidR="00826C2B" w:rsidRPr="008A3A5E" w:rsidRDefault="00826C2B" w:rsidP="005D7175">
            <w:pPr>
              <w:jc w:val="center"/>
              <w:rPr>
                <w:rFonts w:ascii="黑体" w:eastAsia="黑体" w:cs="黑体"/>
                <w:color w:val="FF0000"/>
                <w:spacing w:val="-4"/>
                <w:w w:val="90"/>
                <w:kern w:val="0"/>
                <w:szCs w:val="21"/>
                <w:lang w:val="zh-CN"/>
              </w:rPr>
            </w:pPr>
            <w:r w:rsidRPr="008A3A5E">
              <w:rPr>
                <w:rFonts w:ascii="黑体" w:eastAsia="黑体" w:cs="黑体" w:hint="eastAsia"/>
                <w:color w:val="FF0000"/>
                <w:spacing w:val="2"/>
                <w:kern w:val="0"/>
                <w:szCs w:val="21"/>
                <w:lang w:val="zh-CN"/>
              </w:rPr>
              <w:t>强制性</w:t>
            </w:r>
          </w:p>
        </w:tc>
      </w:tr>
      <w:tr w:rsidR="00826C2B" w:rsidRPr="008A3A5E" w:rsidTr="00826C2B">
        <w:trPr>
          <w:cantSplit/>
          <w:trHeight w:val="20"/>
        </w:trPr>
        <w:tc>
          <w:tcPr>
            <w:tcW w:w="234" w:type="pct"/>
            <w:vMerge w:val="restart"/>
            <w:tcBorders>
              <w:top w:val="single" w:sz="4" w:space="0" w:color="auto"/>
              <w:left w:val="single" w:sz="4" w:space="0" w:color="auto"/>
              <w:right w:val="single" w:sz="4" w:space="0" w:color="auto"/>
            </w:tcBorders>
            <w:vAlign w:val="center"/>
          </w:tcPr>
          <w:p w:rsidR="00826C2B" w:rsidRPr="008A3A5E" w:rsidRDefault="00826C2B" w:rsidP="005D7175">
            <w:pPr>
              <w:jc w:val="right"/>
              <w:rPr>
                <w:rFonts w:ascii="黑体" w:eastAsia="黑体" w:cs="黑体"/>
                <w:color w:val="323232"/>
                <w:spacing w:val="2"/>
                <w:kern w:val="0"/>
                <w:szCs w:val="21"/>
                <w:lang w:val="zh-CN"/>
              </w:rPr>
            </w:pPr>
            <w:r w:rsidRPr="008A3A5E">
              <w:rPr>
                <w:rFonts w:ascii="黑体" w:eastAsia="黑体" w:cs="黑体" w:hint="eastAsia"/>
                <w:color w:val="323232"/>
                <w:spacing w:val="2"/>
                <w:kern w:val="0"/>
                <w:szCs w:val="21"/>
                <w:lang w:val="zh-CN"/>
              </w:rPr>
              <w:t>备注</w:t>
            </w:r>
          </w:p>
        </w:tc>
        <w:tc>
          <w:tcPr>
            <w:tcW w:w="4766" w:type="pct"/>
            <w:gridSpan w:val="5"/>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000000"/>
                <w:spacing w:val="-4"/>
                <w:w w:val="90"/>
                <w:kern w:val="0"/>
                <w:szCs w:val="21"/>
                <w:lang w:val="zh-CN"/>
              </w:rPr>
            </w:pPr>
            <w:r w:rsidRPr="008A3A5E">
              <w:rPr>
                <w:rFonts w:ascii="黑体" w:eastAsia="黑体" w:cs="黑体" w:hint="eastAsia"/>
                <w:color w:val="000000"/>
                <w:spacing w:val="-4"/>
                <w:w w:val="90"/>
                <w:kern w:val="0"/>
                <w:szCs w:val="21"/>
                <w:lang w:val="zh-CN"/>
              </w:rPr>
              <w:t>土地公开出让后，受让人（竞得人）不得以自身原因申请变更强制性规划条件。因国家政策调整、重大基础设施建设、公益性公共设施建设、生态环境保护和文物保护等需要，确需变更强制性条件的，应征得受让人同意后，按照相关程序执行。如受让人不同意调整，则按退地程序处理。</w:t>
            </w:r>
          </w:p>
        </w:tc>
      </w:tr>
      <w:tr w:rsidR="00826C2B" w:rsidRPr="008A3A5E" w:rsidTr="00826C2B">
        <w:trPr>
          <w:cantSplit/>
          <w:trHeight w:val="20"/>
        </w:trPr>
        <w:tc>
          <w:tcPr>
            <w:tcW w:w="234" w:type="pct"/>
            <w:vMerge/>
            <w:tcBorders>
              <w:left w:val="single" w:sz="4" w:space="0" w:color="auto"/>
              <w:right w:val="single" w:sz="4" w:space="0" w:color="auto"/>
            </w:tcBorders>
            <w:vAlign w:val="center"/>
          </w:tcPr>
          <w:p w:rsidR="00826C2B" w:rsidRPr="008A3A5E" w:rsidRDefault="00826C2B" w:rsidP="005D7175">
            <w:pPr>
              <w:widowControl/>
              <w:jc w:val="left"/>
              <w:rPr>
                <w:rFonts w:ascii="黑体" w:eastAsia="黑体" w:cs="黑体"/>
                <w:color w:val="323232"/>
                <w:spacing w:val="2"/>
                <w:kern w:val="0"/>
                <w:szCs w:val="21"/>
                <w:lang w:val="zh-CN"/>
              </w:rPr>
            </w:pPr>
          </w:p>
        </w:tc>
        <w:tc>
          <w:tcPr>
            <w:tcW w:w="4766" w:type="pct"/>
            <w:gridSpan w:val="5"/>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000000"/>
                <w:spacing w:val="-4"/>
                <w:w w:val="90"/>
                <w:kern w:val="0"/>
                <w:szCs w:val="21"/>
                <w:lang w:val="zh-CN"/>
              </w:rPr>
            </w:pPr>
            <w:r w:rsidRPr="008A3A5E">
              <w:rPr>
                <w:rFonts w:ascii="黑体" w:eastAsia="黑体" w:cs="黑体" w:hint="eastAsia"/>
                <w:color w:val="000000"/>
                <w:spacing w:val="-4"/>
                <w:w w:val="90"/>
                <w:kern w:val="0"/>
                <w:szCs w:val="21"/>
                <w:lang w:val="zh-CN"/>
              </w:rPr>
              <w:t>本图则内路名为规划路名，最终路名以厦门市地名办批准路名为准。</w:t>
            </w:r>
          </w:p>
        </w:tc>
      </w:tr>
      <w:tr w:rsidR="00826C2B" w:rsidRPr="008A3A5E" w:rsidTr="00826C2B">
        <w:trPr>
          <w:cantSplit/>
          <w:trHeight w:val="20"/>
        </w:trPr>
        <w:tc>
          <w:tcPr>
            <w:tcW w:w="234" w:type="pct"/>
            <w:vMerge/>
            <w:tcBorders>
              <w:left w:val="single" w:sz="4" w:space="0" w:color="auto"/>
              <w:right w:val="single" w:sz="4" w:space="0" w:color="auto"/>
            </w:tcBorders>
            <w:vAlign w:val="center"/>
          </w:tcPr>
          <w:p w:rsidR="00826C2B" w:rsidRPr="008A3A5E" w:rsidRDefault="00826C2B" w:rsidP="005D7175">
            <w:pPr>
              <w:widowControl/>
              <w:jc w:val="left"/>
              <w:rPr>
                <w:rFonts w:ascii="黑体" w:eastAsia="黑体" w:cs="黑体"/>
                <w:color w:val="323232"/>
                <w:spacing w:val="2"/>
                <w:kern w:val="0"/>
                <w:szCs w:val="21"/>
                <w:lang w:val="zh-CN"/>
              </w:rPr>
            </w:pPr>
          </w:p>
        </w:tc>
        <w:tc>
          <w:tcPr>
            <w:tcW w:w="4766" w:type="pct"/>
            <w:gridSpan w:val="5"/>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000000"/>
                <w:spacing w:val="-4"/>
                <w:w w:val="90"/>
                <w:kern w:val="0"/>
                <w:szCs w:val="21"/>
                <w:lang w:val="zh-CN"/>
              </w:rPr>
            </w:pPr>
            <w:r w:rsidRPr="008A3A5E">
              <w:rPr>
                <w:rFonts w:ascii="黑体" w:eastAsia="黑体" w:cs="黑体" w:hint="eastAsia"/>
                <w:color w:val="000000"/>
                <w:spacing w:val="-4"/>
                <w:w w:val="90"/>
                <w:kern w:val="0"/>
                <w:szCs w:val="21"/>
                <w:lang w:val="zh-CN"/>
              </w:rPr>
              <w:t>本项目施行审批制</w:t>
            </w:r>
          </w:p>
        </w:tc>
      </w:tr>
      <w:tr w:rsidR="00826C2B" w:rsidRPr="008A3A5E" w:rsidTr="00826C2B">
        <w:trPr>
          <w:cantSplit/>
          <w:trHeight w:val="20"/>
        </w:trPr>
        <w:tc>
          <w:tcPr>
            <w:tcW w:w="234" w:type="pct"/>
            <w:vMerge/>
            <w:tcBorders>
              <w:left w:val="single" w:sz="4" w:space="0" w:color="auto"/>
              <w:right w:val="single" w:sz="4" w:space="0" w:color="auto"/>
            </w:tcBorders>
            <w:vAlign w:val="center"/>
          </w:tcPr>
          <w:p w:rsidR="00826C2B" w:rsidRPr="008A3A5E" w:rsidRDefault="00826C2B" w:rsidP="005D7175">
            <w:pPr>
              <w:widowControl/>
              <w:jc w:val="left"/>
              <w:rPr>
                <w:rFonts w:ascii="黑体" w:eastAsia="黑体" w:cs="黑体"/>
                <w:color w:val="323232"/>
                <w:spacing w:val="2"/>
                <w:kern w:val="0"/>
                <w:szCs w:val="21"/>
                <w:lang w:val="zh-CN"/>
              </w:rPr>
            </w:pPr>
          </w:p>
        </w:tc>
        <w:tc>
          <w:tcPr>
            <w:tcW w:w="4766" w:type="pct"/>
            <w:gridSpan w:val="5"/>
            <w:tcBorders>
              <w:top w:val="single" w:sz="4" w:space="0" w:color="auto"/>
              <w:left w:val="single" w:sz="4" w:space="0" w:color="auto"/>
              <w:bottom w:val="single" w:sz="4" w:space="0" w:color="auto"/>
              <w:right w:val="single" w:sz="4" w:space="0" w:color="auto"/>
            </w:tcBorders>
            <w:vAlign w:val="center"/>
          </w:tcPr>
          <w:p w:rsidR="00826C2B" w:rsidRPr="008A3A5E" w:rsidRDefault="00826C2B" w:rsidP="005D7175">
            <w:pPr>
              <w:jc w:val="center"/>
              <w:rPr>
                <w:rFonts w:ascii="黑体" w:eastAsia="黑体" w:cs="黑体"/>
                <w:color w:val="323232"/>
                <w:spacing w:val="-4"/>
                <w:w w:val="90"/>
                <w:kern w:val="0"/>
                <w:szCs w:val="21"/>
                <w:lang w:val="zh-CN"/>
              </w:rPr>
            </w:pPr>
            <w:r w:rsidRPr="008A3A5E">
              <w:rPr>
                <w:rFonts w:ascii="黑体" w:eastAsia="黑体" w:cs="黑体" w:hint="eastAsia"/>
                <w:color w:val="323232"/>
                <w:spacing w:val="-4"/>
                <w:w w:val="90"/>
                <w:kern w:val="0"/>
                <w:szCs w:val="21"/>
                <w:lang w:val="zh-CN"/>
              </w:rPr>
              <w:t>本规划设计要求中未涉及的规划控制要求按《厦</w:t>
            </w:r>
            <w:r w:rsidRPr="008A3A5E">
              <w:rPr>
                <w:rFonts w:ascii="黑体" w:eastAsia="黑体" w:cs="黑体" w:hint="eastAsia"/>
                <w:color w:val="000000"/>
                <w:spacing w:val="-4"/>
                <w:w w:val="90"/>
                <w:kern w:val="0"/>
                <w:szCs w:val="21"/>
                <w:lang w:val="zh-CN"/>
              </w:rPr>
              <w:t>门市城乡规划管理技术规定》（2016年版）</w:t>
            </w:r>
            <w:r w:rsidRPr="008A3A5E">
              <w:rPr>
                <w:rFonts w:ascii="黑体" w:eastAsia="黑体" w:cs="黑体" w:hint="eastAsia"/>
                <w:color w:val="323232"/>
                <w:spacing w:val="-4"/>
                <w:w w:val="90"/>
                <w:kern w:val="0"/>
                <w:szCs w:val="21"/>
                <w:lang w:val="zh-CN"/>
              </w:rPr>
              <w:t>及其他相关规范、补充规定执行。</w:t>
            </w:r>
          </w:p>
        </w:tc>
      </w:tr>
    </w:tbl>
    <w:p w:rsidR="00DD1471" w:rsidRPr="00826C2B" w:rsidRDefault="00826C2B" w:rsidP="00826C2B">
      <w:r>
        <w:rPr>
          <w:rFonts w:ascii="黑体" w:eastAsia="黑体" w:cs="黑体" w:hint="eastAsia"/>
          <w:spacing w:val="2"/>
          <w:kern w:val="0"/>
          <w:sz w:val="18"/>
          <w:szCs w:val="18"/>
          <w:lang w:val="zh-CN"/>
        </w:rPr>
        <w:t>注：本条款第七条——市政规划要求——基地主要机动车出入口条款中在上部无建筑时</w:t>
      </w:r>
      <w:r>
        <w:rPr>
          <w:rFonts w:ascii="黑体" w:eastAsia="黑体" w:cs="黑体" w:hint="eastAsia"/>
          <w:spacing w:val="-4"/>
          <w:w w:val="90"/>
          <w:kern w:val="0"/>
          <w:sz w:val="18"/>
          <w:szCs w:val="18"/>
        </w:rPr>
        <w:t>建筑基底线即为建筑基坑线。</w:t>
      </w:r>
    </w:p>
    <w:sectPr w:rsidR="00DD1471" w:rsidRPr="00826C2B" w:rsidSect="00133169">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638" w:rsidRDefault="00E03638" w:rsidP="00E03638">
      <w:r>
        <w:separator/>
      </w:r>
    </w:p>
  </w:endnote>
  <w:endnote w:type="continuationSeparator" w:id="0">
    <w:p w:rsidR="00E03638" w:rsidRDefault="00E03638" w:rsidP="00E0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638" w:rsidRDefault="00E03638" w:rsidP="00E03638">
      <w:r>
        <w:separator/>
      </w:r>
    </w:p>
  </w:footnote>
  <w:footnote w:type="continuationSeparator" w:id="0">
    <w:p w:rsidR="00E03638" w:rsidRDefault="00E03638" w:rsidP="00E03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C2B" w:rsidRPr="00826C2B" w:rsidRDefault="00826C2B" w:rsidP="00826C2B">
    <w:pPr>
      <w:pStyle w:val="a3"/>
      <w:jc w:val="right"/>
      <w:rPr>
        <w:rFonts w:ascii="宋体" w:hAnsi="宋体"/>
        <w:b/>
        <w:sz w:val="28"/>
        <w:szCs w:val="28"/>
      </w:rPr>
    </w:pPr>
    <w:r>
      <w:rPr>
        <w:rFonts w:ascii="宋体" w:hAnsi="宋体" w:hint="eastAsia"/>
        <w:b/>
        <w:sz w:val="28"/>
        <w:szCs w:val="28"/>
      </w:rPr>
      <w:t>挂牌</w:t>
    </w:r>
    <w:r w:rsidRPr="00EC2379">
      <w:rPr>
        <w:rFonts w:ascii="宋体" w:hAnsi="宋体" w:hint="eastAsia"/>
        <w:b/>
        <w:sz w:val="28"/>
        <w:szCs w:val="28"/>
      </w:rPr>
      <w:t>文件</w:t>
    </w:r>
    <w:r>
      <w:rPr>
        <w:rFonts w:ascii="宋体" w:hAnsi="宋体" w:hint="eastAsia"/>
        <w:b/>
        <w:sz w:val="28"/>
        <w:szCs w:val="28"/>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ocumentProtection w:edit="forms" w:formatting="1" w:enforcement="1" w:cryptProviderType="rsaAES" w:cryptAlgorithmClass="hash" w:cryptAlgorithmType="typeAny" w:cryptAlgorithmSid="14" w:cryptSpinCount="100000" w:hash="GBX74H4FlFMwxsv72gbEV4e1R++GhgiH04YAXchjv3q9tJplqzVaSgn/Mdcm4cgJXgkhCEzLzckmW33mXj0MMw==" w:salt="3AAPtocAUL4CBj37K+oR7w=="/>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3638"/>
    <w:rsid w:val="00133169"/>
    <w:rsid w:val="0027563A"/>
    <w:rsid w:val="00826C2B"/>
    <w:rsid w:val="00DD1471"/>
    <w:rsid w:val="00E03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B57532C-F471-4191-826B-D989BC19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63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036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3638"/>
    <w:rPr>
      <w:sz w:val="18"/>
      <w:szCs w:val="18"/>
    </w:rPr>
  </w:style>
  <w:style w:type="paragraph" w:styleId="a4">
    <w:name w:val="footer"/>
    <w:basedOn w:val="a"/>
    <w:link w:val="Char0"/>
    <w:uiPriority w:val="99"/>
    <w:unhideWhenUsed/>
    <w:rsid w:val="00E036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036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牛真真</dc:creator>
  <cp:lastModifiedBy>许 智超</cp:lastModifiedBy>
  <cp:revision>4</cp:revision>
  <dcterms:created xsi:type="dcterms:W3CDTF">2018-11-20T03:59:00Z</dcterms:created>
  <dcterms:modified xsi:type="dcterms:W3CDTF">2019-11-18T08:01:00Z</dcterms:modified>
</cp:coreProperties>
</file>