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472" w:rsidRDefault="00CB3F46" w:rsidP="00F566E2">
      <w:pPr>
        <w:jc w:val="center"/>
        <w:rPr>
          <w:rFonts w:ascii="黑体" w:eastAsia="黑体" w:hAnsi="黑体"/>
          <w:sz w:val="32"/>
          <w:szCs w:val="32"/>
        </w:rPr>
      </w:pPr>
      <w:r w:rsidRPr="00796430">
        <w:rPr>
          <w:rFonts w:ascii="宋体" w:hAnsi="宋体"/>
          <w:sz w:val="32"/>
          <w:szCs w:val="32"/>
        </w:rPr>
        <w:t>2019XG03-G</w:t>
      </w:r>
      <w:r w:rsidR="00630232" w:rsidRPr="00630232">
        <w:rPr>
          <w:rFonts w:ascii="黑体" w:eastAsia="黑体" w:hAnsi="黑体" w:hint="eastAsia"/>
          <w:sz w:val="32"/>
          <w:szCs w:val="32"/>
        </w:rPr>
        <w:t>地块</w:t>
      </w:r>
      <w:r w:rsidR="003506AD">
        <w:rPr>
          <w:rFonts w:ascii="黑体" w:eastAsia="黑体" w:hAnsi="黑体" w:hint="eastAsia"/>
          <w:sz w:val="32"/>
          <w:szCs w:val="32"/>
        </w:rPr>
        <w:t>规划设计条件</w:t>
      </w:r>
    </w:p>
    <w:tbl>
      <w:tblPr>
        <w:tblW w:w="0" w:type="auto"/>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
        <w:gridCol w:w="1131"/>
        <w:gridCol w:w="653"/>
        <w:gridCol w:w="1470"/>
        <w:gridCol w:w="4859"/>
        <w:gridCol w:w="997"/>
      </w:tblGrid>
      <w:tr w:rsidR="00CB3F46" w:rsidRPr="00024BD3" w:rsidTr="0052765B">
        <w:trPr>
          <w:trHeight w:val="517"/>
        </w:trPr>
        <w:tc>
          <w:tcPr>
            <w:tcW w:w="616"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hAnsi="宋体"/>
                <w:b/>
                <w:bCs/>
                <w:spacing w:val="2"/>
                <w:kern w:val="0"/>
                <w:sz w:val="18"/>
                <w:szCs w:val="18"/>
              </w:rPr>
            </w:pPr>
            <w:bookmarkStart w:id="0" w:name="_GoBack"/>
            <w:bookmarkEnd w:id="0"/>
            <w:r w:rsidRPr="00024BD3">
              <w:rPr>
                <w:rFonts w:ascii="黑体" w:eastAsia="黑体" w:cs="黑体" w:hint="eastAsia"/>
                <w:b/>
                <w:bCs/>
                <w:color w:val="323232"/>
                <w:spacing w:val="2"/>
                <w:kern w:val="0"/>
                <w:sz w:val="18"/>
                <w:szCs w:val="18"/>
                <w:lang w:val="zh-CN"/>
              </w:rPr>
              <w:t>序号</w:t>
            </w:r>
          </w:p>
        </w:tc>
        <w:tc>
          <w:tcPr>
            <w:tcW w:w="3254" w:type="dxa"/>
            <w:gridSpan w:val="3"/>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b/>
                <w:bCs/>
                <w:spacing w:val="2"/>
                <w:kern w:val="0"/>
                <w:sz w:val="18"/>
                <w:szCs w:val="18"/>
              </w:rPr>
            </w:pPr>
            <w:r w:rsidRPr="00024BD3">
              <w:rPr>
                <w:rFonts w:ascii="黑体" w:eastAsia="黑体" w:cs="黑体" w:hint="eastAsia"/>
                <w:b/>
                <w:bCs/>
                <w:color w:val="323232"/>
                <w:spacing w:val="2"/>
                <w:kern w:val="0"/>
                <w:sz w:val="18"/>
                <w:szCs w:val="18"/>
                <w:lang w:val="zh-CN"/>
              </w:rPr>
              <w:t>翔安区13-07马巷南片区舫山东二路与舫阳南二路交叉口西南侧地块</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b/>
                <w:bCs/>
                <w:color w:val="000000"/>
                <w:spacing w:val="2"/>
                <w:kern w:val="0"/>
                <w:sz w:val="18"/>
                <w:szCs w:val="18"/>
              </w:rPr>
            </w:pPr>
            <w:r w:rsidRPr="00024BD3">
              <w:rPr>
                <w:rFonts w:ascii="黑体" w:eastAsia="黑体" w:cs="黑体" w:hint="eastAsia"/>
                <w:b/>
                <w:bCs/>
                <w:color w:val="000000"/>
                <w:spacing w:val="2"/>
                <w:kern w:val="0"/>
                <w:sz w:val="18"/>
                <w:szCs w:val="18"/>
                <w:lang w:val="zh-CN"/>
              </w:rPr>
              <w:t>规划设计要求</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b/>
                <w:bCs/>
                <w:spacing w:val="2"/>
                <w:kern w:val="0"/>
                <w:sz w:val="18"/>
                <w:szCs w:val="18"/>
              </w:rPr>
            </w:pPr>
            <w:r w:rsidRPr="00024BD3">
              <w:rPr>
                <w:rFonts w:ascii="黑体" w:eastAsia="黑体" w:cs="黑体" w:hint="eastAsia"/>
                <w:b/>
                <w:bCs/>
                <w:color w:val="323232"/>
                <w:spacing w:val="2"/>
                <w:kern w:val="0"/>
                <w:sz w:val="18"/>
                <w:szCs w:val="18"/>
                <w:lang w:val="zh-CN"/>
              </w:rPr>
              <w:t>备注</w:t>
            </w:r>
          </w:p>
        </w:tc>
      </w:tr>
      <w:tr w:rsidR="00CB3F46" w:rsidRPr="00024BD3" w:rsidTr="0052765B">
        <w:trPr>
          <w:cantSplit/>
          <w:trHeight w:val="349"/>
        </w:trPr>
        <w:tc>
          <w:tcPr>
            <w:tcW w:w="616"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1</w:t>
            </w:r>
          </w:p>
        </w:tc>
        <w:tc>
          <w:tcPr>
            <w:tcW w:w="3254" w:type="dxa"/>
            <w:gridSpan w:val="3"/>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用地位置</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详见宗地平面界址图</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65"/>
        </w:trPr>
        <w:tc>
          <w:tcPr>
            <w:tcW w:w="616"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2</w:t>
            </w:r>
          </w:p>
        </w:tc>
        <w:tc>
          <w:tcPr>
            <w:tcW w:w="3254" w:type="dxa"/>
            <w:gridSpan w:val="3"/>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用地性质</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工业用地</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85"/>
        </w:trPr>
        <w:tc>
          <w:tcPr>
            <w:tcW w:w="616"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3</w:t>
            </w:r>
          </w:p>
        </w:tc>
        <w:tc>
          <w:tcPr>
            <w:tcW w:w="3254" w:type="dxa"/>
            <w:gridSpan w:val="3"/>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用地面积</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color w:val="323232"/>
                <w:spacing w:val="2"/>
                <w:kern w:val="0"/>
                <w:sz w:val="18"/>
                <w:szCs w:val="18"/>
                <w:lang w:val="zh-CN"/>
              </w:rPr>
              <w:t>11213.881</w:t>
            </w:r>
            <w:r w:rsidRPr="00024BD3">
              <w:rPr>
                <w:rFonts w:ascii="黑体" w:eastAsia="黑体" w:cs="黑体" w:hint="eastAsia"/>
                <w:color w:val="323232"/>
                <w:spacing w:val="2"/>
                <w:kern w:val="0"/>
                <w:sz w:val="18"/>
                <w:szCs w:val="18"/>
                <w:lang w:val="zh-CN"/>
              </w:rPr>
              <w:t xml:space="preserve">平方米                                 </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418"/>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3254" w:type="dxa"/>
            <w:gridSpan w:val="3"/>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生产服务设施用地面积不得超过项目总用地面积的7%。</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326"/>
        </w:trPr>
        <w:tc>
          <w:tcPr>
            <w:tcW w:w="616"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4</w:t>
            </w:r>
          </w:p>
        </w:tc>
        <w:tc>
          <w:tcPr>
            <w:tcW w:w="1131"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建筑面积</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总建筑面积（计容上限）</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color w:val="323232"/>
                <w:spacing w:val="2"/>
                <w:kern w:val="0"/>
                <w:sz w:val="18"/>
                <w:szCs w:val="18"/>
                <w:lang w:val="zh-CN"/>
              </w:rPr>
              <w:t>336</w:t>
            </w:r>
            <w:r>
              <w:rPr>
                <w:rFonts w:ascii="黑体" w:eastAsia="黑体" w:cs="黑体" w:hint="eastAsia"/>
                <w:color w:val="323232"/>
                <w:spacing w:val="2"/>
                <w:kern w:val="0"/>
                <w:sz w:val="18"/>
                <w:szCs w:val="18"/>
                <w:lang w:val="zh-CN"/>
              </w:rPr>
              <w:t>4</w:t>
            </w:r>
            <w:r w:rsidRPr="00024BD3">
              <w:rPr>
                <w:rFonts w:ascii="黑体" w:eastAsia="黑体" w:cs="黑体"/>
                <w:color w:val="323232"/>
                <w:spacing w:val="2"/>
                <w:kern w:val="0"/>
                <w:sz w:val="18"/>
                <w:szCs w:val="18"/>
                <w:lang w:val="zh-CN"/>
              </w:rPr>
              <w:t>0</w:t>
            </w:r>
            <w:r w:rsidRPr="00024BD3">
              <w:rPr>
                <w:rFonts w:ascii="黑体" w:eastAsia="黑体" w:cs="黑体" w:hint="eastAsia"/>
                <w:color w:val="323232"/>
                <w:spacing w:val="2"/>
                <w:kern w:val="0"/>
                <w:sz w:val="18"/>
                <w:szCs w:val="18"/>
                <w:lang w:val="zh-CN"/>
              </w:rPr>
              <w:t>平方米</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326"/>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总建筑面积（计容下限）</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Pr>
                <w:rFonts w:ascii="黑体" w:eastAsia="黑体" w:cs="黑体" w:hint="eastAsia"/>
                <w:color w:val="323232"/>
                <w:spacing w:val="2"/>
                <w:kern w:val="0"/>
                <w:sz w:val="18"/>
                <w:szCs w:val="18"/>
                <w:lang w:val="zh-CN"/>
              </w:rPr>
              <w:t>22430</w:t>
            </w:r>
            <w:r w:rsidRPr="00024BD3">
              <w:rPr>
                <w:rFonts w:ascii="黑体" w:eastAsia="黑体" w:cs="黑体" w:hint="eastAsia"/>
                <w:color w:val="323232"/>
                <w:spacing w:val="2"/>
                <w:kern w:val="0"/>
                <w:sz w:val="18"/>
                <w:szCs w:val="18"/>
                <w:lang w:val="zh-CN"/>
              </w:rPr>
              <w:t>平方米</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763"/>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不同性质建筑占总建筑面积</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行政办公及生活服务等生产服务设施用房建筑面积不得超过总建筑面积的</w:t>
            </w:r>
            <w:r>
              <w:rPr>
                <w:rFonts w:ascii="黑体" w:eastAsia="黑体" w:cs="黑体" w:hint="eastAsia"/>
                <w:color w:val="323232"/>
                <w:spacing w:val="2"/>
                <w:kern w:val="0"/>
                <w:sz w:val="18"/>
                <w:szCs w:val="18"/>
                <w:lang w:val="zh-CN"/>
              </w:rPr>
              <w:t>20</w:t>
            </w:r>
            <w:r w:rsidRPr="00024BD3">
              <w:rPr>
                <w:rFonts w:ascii="黑体" w:eastAsia="黑体" w:cs="黑体" w:hint="eastAsia"/>
                <w:color w:val="323232"/>
                <w:spacing w:val="2"/>
                <w:kern w:val="0"/>
                <w:sz w:val="18"/>
                <w:szCs w:val="18"/>
                <w:lang w:val="zh-CN"/>
              </w:rPr>
              <w:t>%。</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43"/>
        </w:trPr>
        <w:tc>
          <w:tcPr>
            <w:tcW w:w="616"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5</w:t>
            </w:r>
          </w:p>
        </w:tc>
        <w:tc>
          <w:tcPr>
            <w:tcW w:w="3254" w:type="dxa"/>
            <w:gridSpan w:val="3"/>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建筑系数（下限）</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40%</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67"/>
        </w:trPr>
        <w:tc>
          <w:tcPr>
            <w:tcW w:w="616"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6</w:t>
            </w:r>
          </w:p>
        </w:tc>
        <w:tc>
          <w:tcPr>
            <w:tcW w:w="3254" w:type="dxa"/>
            <w:gridSpan w:val="3"/>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绿地率（上限）</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20%</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196"/>
        </w:trPr>
        <w:tc>
          <w:tcPr>
            <w:tcW w:w="616"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7</w:t>
            </w:r>
          </w:p>
        </w:tc>
        <w:tc>
          <w:tcPr>
            <w:tcW w:w="1131"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市政规划要求</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市政配套设施</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323232"/>
                <w:spacing w:val="2"/>
                <w:kern w:val="0"/>
                <w:sz w:val="18"/>
                <w:szCs w:val="18"/>
                <w:lang w:val="zh-CN"/>
              </w:rPr>
              <w:t>——</w:t>
            </w:r>
          </w:p>
        </w:tc>
      </w:tr>
      <w:tr w:rsidR="00CB3F46" w:rsidRPr="00024BD3" w:rsidTr="0052765B">
        <w:trPr>
          <w:cantSplit/>
          <w:trHeight w:val="122"/>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2123" w:type="dxa"/>
            <w:gridSpan w:val="2"/>
            <w:vMerge w:val="restart"/>
            <w:tcBorders>
              <w:top w:val="single" w:sz="4" w:space="0" w:color="auto"/>
              <w:left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基地主要机动车出入口</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基地主要机动车出入口不得设置在东侧规划道路上。</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122"/>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2123" w:type="dxa"/>
            <w:gridSpan w:val="2"/>
            <w:vMerge/>
            <w:tcBorders>
              <w:left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地下车库出入口起坡点紧临城市道路的必须设置在建筑基底线范围内。</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122"/>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停车配建标准</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符合《厦门市建设项目停车设施配建标准》（厦府【2015】322号）文要求。</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38"/>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653"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城市生态环境要求</w:t>
            </w:r>
          </w:p>
        </w:tc>
        <w:tc>
          <w:tcPr>
            <w:tcW w:w="1470"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总体</w:t>
            </w:r>
            <w:r w:rsidRPr="00024BD3">
              <w:rPr>
                <w:rFonts w:ascii="黑体" w:eastAsia="黑体" w:cs="黑体"/>
                <w:color w:val="323232"/>
                <w:spacing w:val="2"/>
                <w:kern w:val="0"/>
                <w:sz w:val="18"/>
                <w:szCs w:val="18"/>
                <w:lang w:val="zh-CN"/>
              </w:rPr>
              <w:t>要求</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符合《海绵城市建设技术指南》（试行）、《福建省城镇排水系统规划导则》（试行）和《厦门市海绵城市建设技术规范》（试行）</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16"/>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653"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1470"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生态指标</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B8774D" w:rsidRDefault="00CB3F46" w:rsidP="00CB3F46">
            <w:pPr>
              <w:jc w:val="left"/>
              <w:rPr>
                <w:rFonts w:ascii="黑体" w:eastAsia="黑体" w:cs="黑体"/>
                <w:spacing w:val="2"/>
                <w:kern w:val="0"/>
                <w:sz w:val="18"/>
                <w:szCs w:val="18"/>
                <w:lang w:val="zh-CN"/>
              </w:rPr>
            </w:pPr>
            <w:r w:rsidRPr="00B8774D">
              <w:rPr>
                <w:rFonts w:ascii="黑体" w:eastAsia="黑体" w:cs="黑体" w:hint="eastAsia"/>
                <w:spacing w:val="2"/>
                <w:kern w:val="0"/>
                <w:sz w:val="18"/>
                <w:szCs w:val="18"/>
                <w:lang w:val="zh-CN"/>
              </w:rPr>
              <w:t>地块年径流总量控制率不小于</w:t>
            </w:r>
            <w:r w:rsidRPr="00B8774D">
              <w:rPr>
                <w:rFonts w:ascii="黑体" w:eastAsia="黑体" w:cs="黑体"/>
                <w:spacing w:val="2"/>
                <w:kern w:val="0"/>
                <w:sz w:val="18"/>
                <w:szCs w:val="18"/>
                <w:lang w:val="zh-CN"/>
              </w:rPr>
              <w:t>60</w:t>
            </w:r>
            <w:r w:rsidRPr="00B8774D">
              <w:rPr>
                <w:rFonts w:ascii="黑体" w:eastAsia="黑体" w:cs="黑体" w:hint="eastAsia"/>
                <w:spacing w:val="2"/>
                <w:kern w:val="0"/>
                <w:sz w:val="18"/>
                <w:szCs w:val="18"/>
                <w:lang w:val="zh-CN"/>
              </w:rPr>
              <w:t>%。</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52"/>
        </w:trPr>
        <w:tc>
          <w:tcPr>
            <w:tcW w:w="616"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8</w:t>
            </w:r>
          </w:p>
        </w:tc>
        <w:tc>
          <w:tcPr>
            <w:tcW w:w="1131" w:type="dxa"/>
            <w:vMerge w:val="restart"/>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城市设计要求</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建筑平面与空间布局</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A235E8" w:rsidRDefault="00CB3F46" w:rsidP="00CB3F46">
            <w:pPr>
              <w:jc w:val="center"/>
              <w:rPr>
                <w:rFonts w:ascii="黑体" w:eastAsia="黑体" w:cs="黑体"/>
                <w:color w:val="000000"/>
                <w:spacing w:val="2"/>
                <w:kern w:val="0"/>
                <w:sz w:val="18"/>
                <w:szCs w:val="18"/>
                <w:lang w:val="zh-CN"/>
              </w:rPr>
            </w:pPr>
            <w:r w:rsidRPr="00A235E8">
              <w:rPr>
                <w:rFonts w:ascii="黑体" w:eastAsia="黑体" w:cs="黑体" w:hint="eastAsia"/>
                <w:color w:val="000000"/>
                <w:spacing w:val="2"/>
                <w:kern w:val="0"/>
                <w:sz w:val="18"/>
                <w:szCs w:val="18"/>
                <w:lang w:val="zh-CN"/>
              </w:rPr>
              <w:t>——</w:t>
            </w:r>
          </w:p>
        </w:tc>
      </w:tr>
      <w:tr w:rsidR="00CB3F46" w:rsidRPr="00024BD3" w:rsidTr="0052765B">
        <w:trPr>
          <w:cantSplit/>
          <w:trHeight w:val="249"/>
        </w:trPr>
        <w:tc>
          <w:tcPr>
            <w:tcW w:w="616"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1131" w:type="dxa"/>
            <w:vMerge/>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层高与层数</w:t>
            </w: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建筑层数要求符合厦府【201</w:t>
            </w:r>
            <w:r>
              <w:rPr>
                <w:rFonts w:ascii="黑体" w:eastAsia="黑体" w:cs="黑体" w:hint="eastAsia"/>
                <w:color w:val="323232"/>
                <w:spacing w:val="2"/>
                <w:kern w:val="0"/>
                <w:sz w:val="18"/>
                <w:szCs w:val="18"/>
                <w:lang w:val="zh-CN"/>
              </w:rPr>
              <w:t>4</w:t>
            </w:r>
            <w:r w:rsidRPr="00024BD3">
              <w:rPr>
                <w:rFonts w:ascii="黑体" w:eastAsia="黑体" w:cs="黑体" w:hint="eastAsia"/>
                <w:color w:val="323232"/>
                <w:spacing w:val="2"/>
                <w:kern w:val="0"/>
                <w:sz w:val="18"/>
                <w:szCs w:val="18"/>
                <w:lang w:val="zh-CN"/>
              </w:rPr>
              <w:t xml:space="preserve">】271号文。 </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52"/>
        </w:trPr>
        <w:tc>
          <w:tcPr>
            <w:tcW w:w="616" w:type="dxa"/>
            <w:vMerge w:val="restart"/>
            <w:tcBorders>
              <w:top w:val="single" w:sz="4" w:space="0" w:color="auto"/>
              <w:left w:val="single" w:sz="4" w:space="0" w:color="auto"/>
              <w:right w:val="single" w:sz="4" w:space="0" w:color="auto"/>
            </w:tcBorders>
            <w:vAlign w:val="center"/>
          </w:tcPr>
          <w:p w:rsidR="00CB3F46" w:rsidRPr="00024BD3" w:rsidRDefault="00CB3F46" w:rsidP="00CB3F46">
            <w:pPr>
              <w:jc w:val="center"/>
              <w:rPr>
                <w:rFonts w:ascii="黑体" w:eastAsia="黑体"/>
                <w:spacing w:val="2"/>
                <w:kern w:val="0"/>
                <w:sz w:val="18"/>
                <w:szCs w:val="18"/>
              </w:rPr>
            </w:pPr>
            <w:r w:rsidRPr="00024BD3">
              <w:rPr>
                <w:rFonts w:ascii="黑体" w:eastAsia="黑体" w:hint="eastAsia"/>
                <w:spacing w:val="2"/>
                <w:kern w:val="0"/>
                <w:sz w:val="18"/>
                <w:szCs w:val="18"/>
              </w:rPr>
              <w:t>9</w:t>
            </w:r>
          </w:p>
        </w:tc>
        <w:tc>
          <w:tcPr>
            <w:tcW w:w="3254" w:type="dxa"/>
            <w:gridSpan w:val="3"/>
            <w:vMerge w:val="restart"/>
            <w:tcBorders>
              <w:top w:val="single" w:sz="4" w:space="0" w:color="auto"/>
              <w:left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其它要求</w:t>
            </w:r>
          </w:p>
        </w:tc>
        <w:tc>
          <w:tcPr>
            <w:tcW w:w="4859"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严禁在工业项目用地范围内建造成套住宅、酒楼和宾馆等非生产性配套设施，不得建造商品房进行出售、出租。</w:t>
            </w:r>
          </w:p>
        </w:tc>
        <w:tc>
          <w:tcPr>
            <w:tcW w:w="997" w:type="dxa"/>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224"/>
        </w:trPr>
        <w:tc>
          <w:tcPr>
            <w:tcW w:w="616" w:type="dxa"/>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3254" w:type="dxa"/>
            <w:gridSpan w:val="3"/>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cs="黑体"/>
                <w:spacing w:val="-4"/>
                <w:w w:val="90"/>
                <w:kern w:val="0"/>
                <w:sz w:val="18"/>
                <w:szCs w:val="18"/>
                <w:lang w:val="zh-CN"/>
              </w:rPr>
            </w:pP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若本地块周边规划轨道线路，规划轨道安全保护区范围内的建设需征得地铁办的意见。</w:t>
            </w:r>
          </w:p>
        </w:tc>
        <w:tc>
          <w:tcPr>
            <w:tcW w:w="997"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509"/>
        </w:trPr>
        <w:tc>
          <w:tcPr>
            <w:tcW w:w="616" w:type="dxa"/>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spacing w:val="2"/>
                <w:kern w:val="0"/>
                <w:sz w:val="18"/>
                <w:szCs w:val="18"/>
              </w:rPr>
            </w:pPr>
          </w:p>
        </w:tc>
        <w:tc>
          <w:tcPr>
            <w:tcW w:w="3254" w:type="dxa"/>
            <w:gridSpan w:val="3"/>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cs="黑体"/>
                <w:spacing w:val="-4"/>
                <w:w w:val="90"/>
                <w:kern w:val="0"/>
                <w:sz w:val="18"/>
                <w:szCs w:val="18"/>
                <w:lang w:val="zh-CN"/>
              </w:rPr>
            </w:pPr>
          </w:p>
        </w:tc>
        <w:tc>
          <w:tcPr>
            <w:tcW w:w="4859"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lef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若本地块周边规划轨道站点，本地块开发预留与轨道站点附属设施结合条件，并符合轨道交通管理的相关规定。</w:t>
            </w:r>
          </w:p>
        </w:tc>
        <w:tc>
          <w:tcPr>
            <w:tcW w:w="997" w:type="dxa"/>
            <w:tcBorders>
              <w:top w:val="single" w:sz="4" w:space="0" w:color="auto"/>
              <w:left w:val="single" w:sz="4" w:space="0" w:color="auto"/>
              <w:bottom w:val="single" w:sz="4" w:space="0" w:color="auto"/>
              <w:right w:val="single" w:sz="4" w:space="0" w:color="auto"/>
            </w:tcBorders>
          </w:tcPr>
          <w:p w:rsidR="00CB3F46" w:rsidRPr="00024BD3" w:rsidRDefault="00CB3F46" w:rsidP="00CB3F46">
            <w:pPr>
              <w:jc w:val="center"/>
              <w:rPr>
                <w:rFonts w:ascii="黑体" w:eastAsia="黑体" w:cs="黑体"/>
                <w:color w:val="FF0000"/>
                <w:spacing w:val="2"/>
                <w:kern w:val="0"/>
                <w:sz w:val="18"/>
                <w:szCs w:val="18"/>
                <w:lang w:val="zh-CN"/>
              </w:rPr>
            </w:pPr>
            <w:r w:rsidRPr="00024BD3">
              <w:rPr>
                <w:rFonts w:ascii="黑体" w:eastAsia="黑体" w:cs="黑体" w:hint="eastAsia"/>
                <w:color w:val="FF0000"/>
                <w:spacing w:val="2"/>
                <w:kern w:val="0"/>
                <w:sz w:val="18"/>
                <w:szCs w:val="18"/>
                <w:lang w:val="zh-CN"/>
              </w:rPr>
              <w:t>强制性</w:t>
            </w:r>
          </w:p>
        </w:tc>
      </w:tr>
      <w:tr w:rsidR="00CB3F46" w:rsidRPr="00024BD3" w:rsidTr="0052765B">
        <w:trPr>
          <w:cantSplit/>
          <w:trHeight w:val="412"/>
        </w:trPr>
        <w:tc>
          <w:tcPr>
            <w:tcW w:w="616" w:type="dxa"/>
            <w:vMerge w:val="restart"/>
            <w:tcBorders>
              <w:top w:val="single" w:sz="4" w:space="0" w:color="auto"/>
              <w:left w:val="single" w:sz="4" w:space="0" w:color="auto"/>
              <w:right w:val="single" w:sz="4" w:space="0" w:color="auto"/>
            </w:tcBorders>
            <w:vAlign w:val="center"/>
          </w:tcPr>
          <w:p w:rsidR="00CB3F46" w:rsidRPr="00024BD3" w:rsidRDefault="00CB3F46" w:rsidP="00CB3F46">
            <w:pPr>
              <w:jc w:val="right"/>
              <w:rPr>
                <w:rFonts w:ascii="黑体" w:eastAsia="黑体" w:cs="黑体"/>
                <w:color w:val="323232"/>
                <w:spacing w:val="2"/>
                <w:kern w:val="0"/>
                <w:sz w:val="18"/>
                <w:szCs w:val="18"/>
                <w:lang w:val="zh-CN"/>
              </w:rPr>
            </w:pPr>
            <w:r w:rsidRPr="00024BD3">
              <w:rPr>
                <w:rFonts w:ascii="黑体" w:eastAsia="黑体" w:cs="黑体" w:hint="eastAsia"/>
                <w:color w:val="323232"/>
                <w:spacing w:val="2"/>
                <w:kern w:val="0"/>
                <w:sz w:val="18"/>
                <w:szCs w:val="18"/>
                <w:lang w:val="zh-CN"/>
              </w:rPr>
              <w:t>备注</w:t>
            </w:r>
          </w:p>
        </w:tc>
        <w:tc>
          <w:tcPr>
            <w:tcW w:w="9110" w:type="dxa"/>
            <w:gridSpan w:val="5"/>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rPr>
                <w:rFonts w:ascii="黑体" w:eastAsia="黑体" w:cs="黑体"/>
                <w:color w:val="000000"/>
                <w:spacing w:val="-4"/>
                <w:w w:val="90"/>
                <w:kern w:val="0"/>
                <w:sz w:val="18"/>
                <w:szCs w:val="18"/>
                <w:lang w:val="zh-CN"/>
              </w:rPr>
            </w:pPr>
            <w:r w:rsidRPr="00024BD3">
              <w:rPr>
                <w:rFonts w:ascii="黑体" w:eastAsia="黑体" w:cs="黑体" w:hint="eastAsia"/>
                <w:color w:val="000000"/>
                <w:spacing w:val="-4"/>
                <w:w w:val="90"/>
                <w:kern w:val="0"/>
                <w:sz w:val="18"/>
                <w:szCs w:val="18"/>
                <w:lang w:val="zh-CN"/>
              </w:rPr>
              <w:t>土地公开出让后，受让人（竞得人）不得以自身原因申请变更强制性规划条件。因国家政策调整、重大基础设施建设、公益性公共设施建设、生态环境保护和文物保护等需要，确需变更强制性条件的，应征得受让人同意后，按照相关程序执行。如受让人不同意调整，则按退地程序处理。</w:t>
            </w:r>
          </w:p>
        </w:tc>
      </w:tr>
      <w:tr w:rsidR="00CB3F46" w:rsidRPr="00024BD3" w:rsidTr="0052765B">
        <w:trPr>
          <w:cantSplit/>
          <w:trHeight w:val="412"/>
        </w:trPr>
        <w:tc>
          <w:tcPr>
            <w:tcW w:w="616" w:type="dxa"/>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cs="黑体"/>
                <w:color w:val="323232"/>
                <w:spacing w:val="2"/>
                <w:kern w:val="0"/>
                <w:sz w:val="18"/>
                <w:szCs w:val="18"/>
                <w:lang w:val="zh-CN"/>
              </w:rPr>
            </w:pPr>
          </w:p>
        </w:tc>
        <w:tc>
          <w:tcPr>
            <w:tcW w:w="9110" w:type="dxa"/>
            <w:gridSpan w:val="5"/>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rPr>
                <w:rFonts w:ascii="黑体" w:eastAsia="黑体" w:cs="黑体"/>
                <w:color w:val="000000"/>
                <w:spacing w:val="-4"/>
                <w:w w:val="90"/>
                <w:kern w:val="0"/>
                <w:sz w:val="18"/>
                <w:szCs w:val="18"/>
                <w:lang w:val="zh-CN"/>
              </w:rPr>
            </w:pPr>
            <w:r w:rsidRPr="004951C7">
              <w:rPr>
                <w:rFonts w:ascii="黑体" w:eastAsia="黑体" w:cs="黑体" w:hint="eastAsia"/>
                <w:color w:val="000000"/>
                <w:spacing w:val="-4"/>
                <w:w w:val="90"/>
                <w:kern w:val="0"/>
                <w:sz w:val="18"/>
                <w:szCs w:val="18"/>
                <w:lang w:val="zh-CN"/>
              </w:rPr>
              <w:t>本</w:t>
            </w:r>
            <w:r w:rsidRPr="003613F3">
              <w:rPr>
                <w:rFonts w:ascii="黑体" w:eastAsia="黑体" w:cs="黑体"/>
                <w:color w:val="000000"/>
                <w:spacing w:val="-4"/>
                <w:w w:val="90"/>
                <w:kern w:val="0"/>
                <w:sz w:val="18"/>
                <w:szCs w:val="18"/>
                <w:lang w:val="zh-CN"/>
              </w:rPr>
              <w:t>项目审查方式（是否施行承诺制）按照</w:t>
            </w:r>
            <w:r>
              <w:rPr>
                <w:rFonts w:ascii="黑体" w:eastAsia="黑体" w:cs="黑体" w:hint="eastAsia"/>
                <w:color w:val="000000"/>
                <w:spacing w:val="-4"/>
                <w:w w:val="90"/>
                <w:kern w:val="0"/>
                <w:sz w:val="18"/>
                <w:szCs w:val="18"/>
                <w:lang w:val="zh-CN"/>
              </w:rPr>
              <w:t>《厦门市城乡规划实施规定》（</w:t>
            </w:r>
            <w:r w:rsidRPr="003613F3">
              <w:rPr>
                <w:rFonts w:ascii="黑体" w:eastAsia="黑体" w:cs="黑体"/>
                <w:color w:val="000000"/>
                <w:spacing w:val="-4"/>
                <w:w w:val="90"/>
                <w:kern w:val="0"/>
                <w:sz w:val="18"/>
                <w:szCs w:val="18"/>
                <w:lang w:val="zh-CN"/>
              </w:rPr>
              <w:t>厦府</w:t>
            </w:r>
            <w:r w:rsidRPr="00024BD3">
              <w:rPr>
                <w:rFonts w:ascii="黑体" w:eastAsia="黑体" w:cs="黑体" w:hint="eastAsia"/>
                <w:color w:val="323232"/>
                <w:spacing w:val="2"/>
                <w:kern w:val="0"/>
                <w:sz w:val="18"/>
                <w:szCs w:val="18"/>
                <w:lang w:val="zh-CN"/>
              </w:rPr>
              <w:t>【201</w:t>
            </w:r>
            <w:r>
              <w:rPr>
                <w:rFonts w:ascii="黑体" w:eastAsia="黑体" w:cs="黑体" w:hint="eastAsia"/>
                <w:color w:val="323232"/>
                <w:spacing w:val="2"/>
                <w:kern w:val="0"/>
                <w:sz w:val="18"/>
                <w:szCs w:val="18"/>
                <w:lang w:val="zh-CN"/>
              </w:rPr>
              <w:t>6</w:t>
            </w:r>
            <w:r w:rsidRPr="00024BD3">
              <w:rPr>
                <w:rFonts w:ascii="黑体" w:eastAsia="黑体" w:cs="黑体" w:hint="eastAsia"/>
                <w:color w:val="323232"/>
                <w:spacing w:val="2"/>
                <w:kern w:val="0"/>
                <w:sz w:val="18"/>
                <w:szCs w:val="18"/>
                <w:lang w:val="zh-CN"/>
              </w:rPr>
              <w:t>】</w:t>
            </w:r>
            <w:r w:rsidRPr="003613F3">
              <w:rPr>
                <w:rFonts w:ascii="黑体" w:eastAsia="黑体" w:cs="黑体"/>
                <w:color w:val="000000"/>
                <w:spacing w:val="-4"/>
                <w:w w:val="90"/>
                <w:kern w:val="0"/>
                <w:sz w:val="18"/>
                <w:szCs w:val="18"/>
                <w:lang w:val="zh-CN"/>
              </w:rPr>
              <w:t>408号</w:t>
            </w:r>
            <w:r>
              <w:rPr>
                <w:rFonts w:ascii="黑体" w:eastAsia="黑体" w:cs="黑体" w:hint="eastAsia"/>
                <w:color w:val="000000"/>
                <w:spacing w:val="-4"/>
                <w:w w:val="90"/>
                <w:kern w:val="0"/>
                <w:sz w:val="18"/>
                <w:szCs w:val="18"/>
                <w:lang w:val="zh-CN"/>
              </w:rPr>
              <w:t>）</w:t>
            </w:r>
            <w:r w:rsidRPr="003613F3">
              <w:rPr>
                <w:rFonts w:ascii="黑体" w:eastAsia="黑体" w:cs="黑体"/>
                <w:color w:val="000000"/>
                <w:spacing w:val="-4"/>
                <w:w w:val="90"/>
                <w:kern w:val="0"/>
                <w:sz w:val="18"/>
                <w:szCs w:val="18"/>
                <w:lang w:val="zh-CN"/>
              </w:rPr>
              <w:t>及</w:t>
            </w:r>
            <w:r>
              <w:rPr>
                <w:rFonts w:ascii="黑体" w:eastAsia="黑体" w:cs="黑体" w:hint="eastAsia"/>
                <w:color w:val="000000"/>
                <w:spacing w:val="-4"/>
                <w:w w:val="90"/>
                <w:kern w:val="0"/>
                <w:sz w:val="18"/>
                <w:szCs w:val="18"/>
                <w:lang w:val="zh-CN"/>
              </w:rPr>
              <w:t>《厦门市规划委员会关于公布建筑工程规划许可（建筑工程）实行审批制及告知承诺制项目分类清单的通知》（</w:t>
            </w:r>
            <w:r w:rsidRPr="003613F3">
              <w:rPr>
                <w:rFonts w:ascii="黑体" w:eastAsia="黑体" w:cs="黑体"/>
                <w:color w:val="000000"/>
                <w:spacing w:val="-4"/>
                <w:w w:val="90"/>
                <w:kern w:val="0"/>
                <w:sz w:val="18"/>
                <w:szCs w:val="18"/>
                <w:lang w:val="zh-CN"/>
              </w:rPr>
              <w:t>厦规</w:t>
            </w:r>
            <w:r w:rsidRPr="00024BD3">
              <w:rPr>
                <w:rFonts w:ascii="黑体" w:eastAsia="黑体" w:cs="黑体" w:hint="eastAsia"/>
                <w:color w:val="323232"/>
                <w:spacing w:val="2"/>
                <w:kern w:val="0"/>
                <w:sz w:val="18"/>
                <w:szCs w:val="18"/>
                <w:lang w:val="zh-CN"/>
              </w:rPr>
              <w:t>【201</w:t>
            </w:r>
            <w:r>
              <w:rPr>
                <w:rFonts w:ascii="黑体" w:eastAsia="黑体" w:cs="黑体" w:hint="eastAsia"/>
                <w:color w:val="323232"/>
                <w:spacing w:val="2"/>
                <w:kern w:val="0"/>
                <w:sz w:val="18"/>
                <w:szCs w:val="18"/>
                <w:lang w:val="zh-CN"/>
              </w:rPr>
              <w:t>8</w:t>
            </w:r>
            <w:r w:rsidRPr="00024BD3">
              <w:rPr>
                <w:rFonts w:ascii="黑体" w:eastAsia="黑体" w:cs="黑体" w:hint="eastAsia"/>
                <w:color w:val="323232"/>
                <w:spacing w:val="2"/>
                <w:kern w:val="0"/>
                <w:sz w:val="18"/>
                <w:szCs w:val="18"/>
                <w:lang w:val="zh-CN"/>
              </w:rPr>
              <w:t>】</w:t>
            </w:r>
            <w:r w:rsidRPr="003613F3">
              <w:rPr>
                <w:rFonts w:ascii="黑体" w:eastAsia="黑体" w:cs="黑体"/>
                <w:color w:val="000000"/>
                <w:spacing w:val="-4"/>
                <w:w w:val="90"/>
                <w:kern w:val="0"/>
                <w:sz w:val="18"/>
                <w:szCs w:val="18"/>
                <w:lang w:val="zh-CN"/>
              </w:rPr>
              <w:t>165号</w:t>
            </w:r>
            <w:r>
              <w:rPr>
                <w:rFonts w:ascii="黑体" w:eastAsia="黑体" w:cs="黑体" w:hint="eastAsia"/>
                <w:color w:val="000000"/>
                <w:spacing w:val="-4"/>
                <w:w w:val="90"/>
                <w:kern w:val="0"/>
                <w:sz w:val="18"/>
                <w:szCs w:val="18"/>
                <w:lang w:val="zh-CN"/>
              </w:rPr>
              <w:t>）</w:t>
            </w:r>
            <w:r w:rsidRPr="003613F3">
              <w:rPr>
                <w:rFonts w:ascii="黑体" w:eastAsia="黑体" w:cs="黑体"/>
                <w:color w:val="000000"/>
                <w:spacing w:val="-4"/>
                <w:w w:val="90"/>
                <w:kern w:val="0"/>
                <w:sz w:val="18"/>
                <w:szCs w:val="18"/>
                <w:lang w:val="zh-CN"/>
              </w:rPr>
              <w:t>执行</w:t>
            </w:r>
            <w:r>
              <w:rPr>
                <w:rFonts w:ascii="黑体" w:eastAsia="黑体" w:cs="黑体" w:hint="eastAsia"/>
                <w:color w:val="000000"/>
                <w:spacing w:val="-4"/>
                <w:w w:val="90"/>
                <w:kern w:val="0"/>
                <w:sz w:val="18"/>
                <w:szCs w:val="18"/>
                <w:lang w:val="zh-CN"/>
              </w:rPr>
              <w:t>。</w:t>
            </w:r>
          </w:p>
        </w:tc>
      </w:tr>
      <w:tr w:rsidR="00CB3F46" w:rsidRPr="00024BD3" w:rsidTr="0052765B">
        <w:trPr>
          <w:cantSplit/>
          <w:trHeight w:val="412"/>
        </w:trPr>
        <w:tc>
          <w:tcPr>
            <w:tcW w:w="616" w:type="dxa"/>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cs="黑体"/>
                <w:color w:val="323232"/>
                <w:spacing w:val="2"/>
                <w:kern w:val="0"/>
                <w:sz w:val="18"/>
                <w:szCs w:val="18"/>
                <w:lang w:val="zh-CN"/>
              </w:rPr>
            </w:pPr>
          </w:p>
        </w:tc>
        <w:tc>
          <w:tcPr>
            <w:tcW w:w="9110" w:type="dxa"/>
            <w:gridSpan w:val="5"/>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rPr>
                <w:rFonts w:ascii="黑体" w:eastAsia="黑体" w:cs="黑体"/>
                <w:color w:val="000000"/>
                <w:spacing w:val="-4"/>
                <w:w w:val="90"/>
                <w:kern w:val="0"/>
                <w:sz w:val="18"/>
                <w:szCs w:val="18"/>
                <w:lang w:val="zh-CN"/>
              </w:rPr>
            </w:pPr>
            <w:r w:rsidRPr="00024BD3">
              <w:rPr>
                <w:rFonts w:ascii="黑体" w:eastAsia="黑体" w:cs="黑体" w:hint="eastAsia"/>
                <w:color w:val="000000"/>
                <w:spacing w:val="-4"/>
                <w:w w:val="90"/>
                <w:kern w:val="0"/>
                <w:sz w:val="18"/>
                <w:szCs w:val="18"/>
                <w:lang w:val="zh-CN"/>
              </w:rPr>
              <w:t>本图则内路名为规划路名，最终路名以厦门市地名办批准路名为准。</w:t>
            </w:r>
          </w:p>
        </w:tc>
      </w:tr>
      <w:tr w:rsidR="00CB3F46" w:rsidRPr="00024BD3" w:rsidTr="0052765B">
        <w:trPr>
          <w:cantSplit/>
          <w:trHeight w:val="412"/>
        </w:trPr>
        <w:tc>
          <w:tcPr>
            <w:tcW w:w="616" w:type="dxa"/>
            <w:vMerge/>
            <w:tcBorders>
              <w:left w:val="single" w:sz="4" w:space="0" w:color="auto"/>
              <w:right w:val="single" w:sz="4" w:space="0" w:color="auto"/>
            </w:tcBorders>
            <w:vAlign w:val="center"/>
          </w:tcPr>
          <w:p w:rsidR="00CB3F46" w:rsidRPr="00024BD3" w:rsidRDefault="00CB3F46" w:rsidP="00CB3F46">
            <w:pPr>
              <w:widowControl/>
              <w:jc w:val="left"/>
              <w:rPr>
                <w:rFonts w:ascii="黑体" w:eastAsia="黑体" w:cs="黑体"/>
                <w:color w:val="323232"/>
                <w:spacing w:val="2"/>
                <w:kern w:val="0"/>
                <w:sz w:val="18"/>
                <w:szCs w:val="18"/>
                <w:lang w:val="zh-CN"/>
              </w:rPr>
            </w:pPr>
          </w:p>
        </w:tc>
        <w:tc>
          <w:tcPr>
            <w:tcW w:w="9110" w:type="dxa"/>
            <w:gridSpan w:val="5"/>
            <w:tcBorders>
              <w:top w:val="single" w:sz="4" w:space="0" w:color="auto"/>
              <w:left w:val="single" w:sz="4" w:space="0" w:color="auto"/>
              <w:bottom w:val="single" w:sz="4" w:space="0" w:color="auto"/>
              <w:right w:val="single" w:sz="4" w:space="0" w:color="auto"/>
            </w:tcBorders>
            <w:vAlign w:val="center"/>
          </w:tcPr>
          <w:p w:rsidR="00CB3F46" w:rsidRPr="00024BD3" w:rsidRDefault="00CB3F46" w:rsidP="00CB3F46">
            <w:pPr>
              <w:rPr>
                <w:rFonts w:ascii="黑体" w:eastAsia="黑体" w:cs="黑体"/>
                <w:color w:val="000000"/>
                <w:spacing w:val="-4"/>
                <w:w w:val="90"/>
                <w:kern w:val="0"/>
                <w:sz w:val="18"/>
                <w:szCs w:val="18"/>
                <w:lang w:val="zh-CN"/>
              </w:rPr>
            </w:pPr>
            <w:r w:rsidRPr="00024BD3">
              <w:rPr>
                <w:rFonts w:ascii="黑体" w:eastAsia="黑体" w:cs="黑体" w:hint="eastAsia"/>
                <w:color w:val="000000"/>
                <w:spacing w:val="-4"/>
                <w:w w:val="90"/>
                <w:kern w:val="0"/>
                <w:sz w:val="18"/>
                <w:szCs w:val="18"/>
                <w:lang w:val="zh-CN"/>
              </w:rPr>
              <w:t>本规划设计要求中未涉及的规划控制要求按《厦门市城乡规划管理技术规定》（2016年版）及其他相关规范、补充规定执行。</w:t>
            </w:r>
          </w:p>
        </w:tc>
      </w:tr>
    </w:tbl>
    <w:p w:rsidR="00630232" w:rsidRPr="00CB3F46" w:rsidRDefault="00630232" w:rsidP="00630232">
      <w:pPr>
        <w:jc w:val="left"/>
        <w:rPr>
          <w:rFonts w:ascii="黑体" w:eastAsia="黑体" w:hAnsi="黑体"/>
          <w:sz w:val="32"/>
          <w:szCs w:val="32"/>
        </w:rPr>
      </w:pPr>
    </w:p>
    <w:sectPr w:rsidR="00630232" w:rsidRPr="00CB3F46" w:rsidSect="00AC3B0F">
      <w:headerReference w:type="default" r:id="rId8"/>
      <w:pgSz w:w="11906" w:h="16838" w:code="9"/>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F46" w:rsidRDefault="00CB3F46" w:rsidP="00F944AC">
      <w:r>
        <w:separator/>
      </w:r>
    </w:p>
  </w:endnote>
  <w:endnote w:type="continuationSeparator" w:id="1">
    <w:p w:rsidR="00CB3F46" w:rsidRDefault="00CB3F46" w:rsidP="00F944A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F46" w:rsidRDefault="00CB3F46" w:rsidP="00F944AC">
      <w:r>
        <w:separator/>
      </w:r>
    </w:p>
  </w:footnote>
  <w:footnote w:type="continuationSeparator" w:id="1">
    <w:p w:rsidR="00CB3F46" w:rsidRDefault="00CB3F46" w:rsidP="00F94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46" w:rsidRPr="0066049D" w:rsidRDefault="00CB3F46" w:rsidP="0066049D">
    <w:pPr>
      <w:pStyle w:val="a5"/>
      <w:jc w:val="right"/>
      <w:rPr>
        <w:rFonts w:asciiTheme="minorEastAsia" w:eastAsiaTheme="minorEastAsia" w:hAnsiTheme="minorEastAsia"/>
        <w:b/>
        <w:sz w:val="28"/>
        <w:szCs w:val="28"/>
      </w:rPr>
    </w:pPr>
    <w:r w:rsidRPr="0066049D">
      <w:rPr>
        <w:rFonts w:asciiTheme="minorEastAsia" w:eastAsiaTheme="minorEastAsia" w:hAnsiTheme="minorEastAsia"/>
        <w:b/>
        <w:sz w:val="28"/>
        <w:szCs w:val="28"/>
      </w:rPr>
      <w:t>挂牌文件</w:t>
    </w:r>
    <w:r w:rsidRPr="0066049D">
      <w:rPr>
        <w:rFonts w:asciiTheme="minorEastAsia" w:eastAsiaTheme="minorEastAsia" w:hAnsiTheme="minorEastAsia" w:hint="eastAsia"/>
        <w:b/>
        <w:sz w:val="28"/>
        <w:szCs w:val="28"/>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F230D1DC"/>
    <w:lvl w:ilvl="0">
      <w:start w:val="1"/>
      <w:numFmt w:val="decimal"/>
      <w:lvlText w:val="%1."/>
      <w:lvlJc w:val="left"/>
      <w:pPr>
        <w:tabs>
          <w:tab w:val="num" w:pos="2040"/>
        </w:tabs>
        <w:ind w:left="2040" w:hanging="360"/>
      </w:pPr>
    </w:lvl>
  </w:abstractNum>
  <w:abstractNum w:abstractNumId="1">
    <w:nsid w:val="0FFFFF7D"/>
    <w:multiLevelType w:val="singleLevel"/>
    <w:tmpl w:val="5EA2EF30"/>
    <w:lvl w:ilvl="0">
      <w:start w:val="1"/>
      <w:numFmt w:val="decimal"/>
      <w:lvlText w:val="%1."/>
      <w:lvlJc w:val="left"/>
      <w:pPr>
        <w:tabs>
          <w:tab w:val="num" w:pos="1620"/>
        </w:tabs>
        <w:ind w:left="1620" w:hanging="360"/>
      </w:pPr>
    </w:lvl>
  </w:abstractNum>
  <w:abstractNum w:abstractNumId="2">
    <w:nsid w:val="0FFFFF7E"/>
    <w:multiLevelType w:val="singleLevel"/>
    <w:tmpl w:val="B7EA4114"/>
    <w:lvl w:ilvl="0">
      <w:start w:val="1"/>
      <w:numFmt w:val="decimal"/>
      <w:lvlText w:val="%1."/>
      <w:lvlJc w:val="left"/>
      <w:pPr>
        <w:tabs>
          <w:tab w:val="num" w:pos="1200"/>
        </w:tabs>
        <w:ind w:left="1200" w:hanging="360"/>
      </w:pPr>
    </w:lvl>
  </w:abstractNum>
  <w:abstractNum w:abstractNumId="3">
    <w:nsid w:val="0FFFFF7F"/>
    <w:multiLevelType w:val="singleLevel"/>
    <w:tmpl w:val="310A9E24"/>
    <w:lvl w:ilvl="0">
      <w:start w:val="1"/>
      <w:numFmt w:val="decimal"/>
      <w:lvlText w:val="%1."/>
      <w:lvlJc w:val="left"/>
      <w:pPr>
        <w:tabs>
          <w:tab w:val="num" w:pos="780"/>
        </w:tabs>
        <w:ind w:left="780" w:hanging="360"/>
      </w:pPr>
    </w:lvl>
  </w:abstractNum>
  <w:abstractNum w:abstractNumId="4">
    <w:nsid w:val="0FFFFF80"/>
    <w:multiLevelType w:val="singleLevel"/>
    <w:tmpl w:val="3B7C879A"/>
    <w:lvl w:ilvl="0">
      <w:start w:val="1"/>
      <w:numFmt w:val="bullet"/>
      <w:lvlText w:val=""/>
      <w:lvlJc w:val="left"/>
      <w:pPr>
        <w:tabs>
          <w:tab w:val="num" w:pos="2040"/>
        </w:tabs>
        <w:ind w:left="2040" w:hanging="360"/>
      </w:pPr>
      <w:rPr>
        <w:rFonts w:ascii="Wingdings" w:hAnsi="Wingdings" w:hint="default"/>
      </w:rPr>
    </w:lvl>
  </w:abstractNum>
  <w:abstractNum w:abstractNumId="5">
    <w:nsid w:val="0FFFFF81"/>
    <w:multiLevelType w:val="singleLevel"/>
    <w:tmpl w:val="99828418"/>
    <w:lvl w:ilvl="0">
      <w:start w:val="1"/>
      <w:numFmt w:val="bullet"/>
      <w:lvlText w:val=""/>
      <w:lvlJc w:val="left"/>
      <w:pPr>
        <w:tabs>
          <w:tab w:val="num" w:pos="1620"/>
        </w:tabs>
        <w:ind w:left="1620" w:hanging="360"/>
      </w:pPr>
      <w:rPr>
        <w:rFonts w:ascii="Wingdings" w:hAnsi="Wingdings" w:hint="default"/>
      </w:rPr>
    </w:lvl>
  </w:abstractNum>
  <w:abstractNum w:abstractNumId="6">
    <w:nsid w:val="0FFFFF82"/>
    <w:multiLevelType w:val="singleLevel"/>
    <w:tmpl w:val="1EFC1E9A"/>
    <w:lvl w:ilvl="0">
      <w:start w:val="1"/>
      <w:numFmt w:val="bullet"/>
      <w:lvlText w:val=""/>
      <w:lvlJc w:val="left"/>
      <w:pPr>
        <w:tabs>
          <w:tab w:val="num" w:pos="1200"/>
        </w:tabs>
        <w:ind w:left="1200" w:hanging="360"/>
      </w:pPr>
      <w:rPr>
        <w:rFonts w:ascii="Wingdings" w:hAnsi="Wingdings" w:hint="default"/>
      </w:rPr>
    </w:lvl>
  </w:abstractNum>
  <w:abstractNum w:abstractNumId="7">
    <w:nsid w:val="0FFFFF83"/>
    <w:multiLevelType w:val="singleLevel"/>
    <w:tmpl w:val="439AE274"/>
    <w:lvl w:ilvl="0">
      <w:start w:val="1"/>
      <w:numFmt w:val="bullet"/>
      <w:lvlText w:val=""/>
      <w:lvlJc w:val="left"/>
      <w:pPr>
        <w:tabs>
          <w:tab w:val="num" w:pos="780"/>
        </w:tabs>
        <w:ind w:left="780" w:hanging="360"/>
      </w:pPr>
      <w:rPr>
        <w:rFonts w:ascii="Wingdings" w:hAnsi="Wingdings" w:hint="default"/>
      </w:rPr>
    </w:lvl>
  </w:abstractNum>
  <w:abstractNum w:abstractNumId="8">
    <w:nsid w:val="0FFFFF88"/>
    <w:multiLevelType w:val="singleLevel"/>
    <w:tmpl w:val="19D2FCEC"/>
    <w:lvl w:ilvl="0">
      <w:start w:val="1"/>
      <w:numFmt w:val="decimal"/>
      <w:lvlText w:val="%1."/>
      <w:lvlJc w:val="left"/>
      <w:pPr>
        <w:tabs>
          <w:tab w:val="num" w:pos="360"/>
        </w:tabs>
        <w:ind w:left="360" w:hanging="360"/>
      </w:pPr>
    </w:lvl>
  </w:abstractNum>
  <w:abstractNum w:abstractNumId="9">
    <w:nsid w:val="0FFFFF89"/>
    <w:multiLevelType w:val="singleLevel"/>
    <w:tmpl w:val="7BC25C7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bordersDoNotSurroundHeader/>
  <w:bordersDoNotSurroundFooter/>
  <w:hideGrammaticalErrors/>
  <w:stylePaneFormatFilter w:val="3F01"/>
  <w:documentProtection w:edit="forms" w:formatting="1" w:enforcement="1" w:cryptProviderType="rsaFull" w:cryptAlgorithmClass="hash" w:cryptAlgorithmType="typeAny" w:cryptAlgorithmSid="4" w:cryptSpinCount="50000" w:hash="nEwtBYwSs1jPlcZb0Ekpmu52rrY=" w:salt="fglTJYjRfIcmLNFO/NzuRg=="/>
  <w:defaultTabStop w:val="420"/>
  <w:defaultTableStyle w:val="a"/>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662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260A"/>
    <w:rsid w:val="000E5613"/>
    <w:rsid w:val="000E7BC6"/>
    <w:rsid w:val="00127875"/>
    <w:rsid w:val="001A2274"/>
    <w:rsid w:val="001C0BD6"/>
    <w:rsid w:val="00225BE8"/>
    <w:rsid w:val="002F6F21"/>
    <w:rsid w:val="00301A3E"/>
    <w:rsid w:val="003506AD"/>
    <w:rsid w:val="00385472"/>
    <w:rsid w:val="004971D4"/>
    <w:rsid w:val="004A1A6C"/>
    <w:rsid w:val="004D29E8"/>
    <w:rsid w:val="0052765B"/>
    <w:rsid w:val="00630232"/>
    <w:rsid w:val="0063693B"/>
    <w:rsid w:val="0066049D"/>
    <w:rsid w:val="00680627"/>
    <w:rsid w:val="006B069B"/>
    <w:rsid w:val="00792EF0"/>
    <w:rsid w:val="007F4793"/>
    <w:rsid w:val="0083494B"/>
    <w:rsid w:val="0092260A"/>
    <w:rsid w:val="00935707"/>
    <w:rsid w:val="00AC3B0F"/>
    <w:rsid w:val="00B11CDD"/>
    <w:rsid w:val="00B970A1"/>
    <w:rsid w:val="00BE0945"/>
    <w:rsid w:val="00C30A4D"/>
    <w:rsid w:val="00CA0B5A"/>
    <w:rsid w:val="00CB3F46"/>
    <w:rsid w:val="00D20392"/>
    <w:rsid w:val="00D636AC"/>
    <w:rsid w:val="00DA6CC2"/>
    <w:rsid w:val="00F45F4A"/>
    <w:rsid w:val="00F566E2"/>
    <w:rsid w:val="00F94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392"/>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D20392"/>
    <w:rPr>
      <w:rFonts w:ascii="Arial" w:hAnsi="Arial" w:cs="Arial"/>
    </w:rPr>
  </w:style>
  <w:style w:type="paragraph" w:customStyle="1" w:styleId="CharCharCharChar">
    <w:name w:val="Char Char Char Char"/>
    <w:basedOn w:val="a"/>
    <w:rsid w:val="00D20392"/>
  </w:style>
  <w:style w:type="paragraph" w:styleId="a3">
    <w:name w:val="annotation text"/>
    <w:basedOn w:val="a"/>
    <w:rsid w:val="00D20392"/>
    <w:pPr>
      <w:jc w:val="left"/>
    </w:pPr>
  </w:style>
  <w:style w:type="paragraph" w:styleId="a4">
    <w:name w:val="Normal (Web)"/>
    <w:basedOn w:val="a"/>
    <w:rsid w:val="00D20392"/>
    <w:pPr>
      <w:widowControl/>
      <w:spacing w:before="100" w:beforeAutospacing="1" w:after="100" w:afterAutospacing="1"/>
      <w:jc w:val="left"/>
    </w:pPr>
    <w:rPr>
      <w:rFonts w:ascii="宋体" w:cs="宋体"/>
      <w:kern w:val="0"/>
      <w:sz w:val="24"/>
    </w:rPr>
  </w:style>
  <w:style w:type="paragraph" w:styleId="a5">
    <w:name w:val="header"/>
    <w:basedOn w:val="a"/>
    <w:rsid w:val="00D20392"/>
    <w:pPr>
      <w:pBdr>
        <w:bottom w:val="single" w:sz="6" w:space="1" w:color="auto"/>
      </w:pBdr>
      <w:tabs>
        <w:tab w:val="center" w:pos="4153"/>
        <w:tab w:val="right" w:pos="8306"/>
      </w:tabs>
      <w:snapToGrid w:val="0"/>
      <w:jc w:val="center"/>
    </w:pPr>
    <w:rPr>
      <w:sz w:val="18"/>
      <w:szCs w:val="18"/>
    </w:rPr>
  </w:style>
  <w:style w:type="paragraph" w:styleId="a6">
    <w:name w:val="footer"/>
    <w:basedOn w:val="a"/>
    <w:rsid w:val="00D20392"/>
    <w:pPr>
      <w:tabs>
        <w:tab w:val="center" w:pos="4153"/>
        <w:tab w:val="right" w:pos="8306"/>
      </w:tabs>
      <w:snapToGrid w:val="0"/>
      <w:jc w:val="left"/>
    </w:pPr>
    <w:rPr>
      <w:sz w:val="18"/>
      <w:szCs w:val="18"/>
    </w:rPr>
  </w:style>
  <w:style w:type="paragraph" w:styleId="a7">
    <w:name w:val="Balloon Text"/>
    <w:basedOn w:val="a"/>
    <w:rsid w:val="00D2039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D736E-44E9-458B-85C1-CC3622AA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177</Words>
  <Characters>1011</Characters>
  <Application>Microsoft Office Word</Application>
  <DocSecurity>0</DocSecurity>
  <Lines>8</Lines>
  <Paragraphs>2</Paragraphs>
  <ScaleCrop>false</ScaleCrop>
  <Company>Microsoft</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厦门市国土资源与房产管理局 厦门市规划局</dc:title>
  <dc:creator>hyl</dc:creator>
  <cp:lastModifiedBy>林秀琴</cp:lastModifiedBy>
  <cp:revision>16</cp:revision>
  <cp:lastPrinted>2019-06-18T09:32:00Z</cp:lastPrinted>
  <dcterms:created xsi:type="dcterms:W3CDTF">2019-05-27T07:52:00Z</dcterms:created>
  <dcterms:modified xsi:type="dcterms:W3CDTF">2019-10-21T02:15:00Z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
    <vt:lpwstr>2052-10.1.0.7401</vt:lpwstr>
  </property>
</Properties>
</file>